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9396" w14:textId="77777777" w:rsidR="008C7899" w:rsidRDefault="008C7899" w:rsidP="00B72A76">
      <w:pPr>
        <w:spacing w:after="120" w:line="240" w:lineRule="auto"/>
        <w:jc w:val="center"/>
        <w:rPr>
          <w:rFonts w:ascii="Times New Roman" w:eastAsia="Times New Roman" w:hAnsi="Times New Roman" w:cs="Times New Roman"/>
          <w:b/>
          <w:smallCaps/>
          <w:color w:val="215E99" w:themeColor="text2" w:themeTint="BF"/>
          <w:kern w:val="0"/>
          <w:sz w:val="40"/>
          <w:szCs w:val="40"/>
          <w:lang w:val="en-GB" w:eastAsia="fr-BE"/>
          <w14:ligatures w14:val="none"/>
        </w:rPr>
      </w:pPr>
      <w:r>
        <w:rPr>
          <w:rFonts w:ascii="Times New Roman" w:eastAsia="Times New Roman" w:hAnsi="Times New Roman" w:cs="Times New Roman"/>
          <w:b/>
          <w:smallCaps/>
          <w:color w:val="215E99" w:themeColor="text2" w:themeTint="BF"/>
          <w:kern w:val="0"/>
          <w:sz w:val="40"/>
          <w:szCs w:val="40"/>
          <w:lang w:val="en-GB" w:eastAsia="fr-BE"/>
          <w14:ligatures w14:val="none"/>
        </w:rPr>
        <w:t>CONCEPT NOTE</w:t>
      </w:r>
    </w:p>
    <w:p w14:paraId="205D5855" w14:textId="2F550D86" w:rsidR="00B72A76" w:rsidRPr="00B72A76" w:rsidRDefault="00B72A76" w:rsidP="00B72A76">
      <w:pPr>
        <w:spacing w:after="120" w:line="240" w:lineRule="auto"/>
        <w:jc w:val="center"/>
        <w:rPr>
          <w:rFonts w:ascii="Times New Roman" w:eastAsia="Times New Roman" w:hAnsi="Times New Roman" w:cs="Times New Roman"/>
          <w:b/>
          <w:smallCaps/>
          <w:color w:val="215E99" w:themeColor="text2" w:themeTint="BF"/>
          <w:kern w:val="0"/>
          <w:sz w:val="40"/>
          <w:szCs w:val="40"/>
          <w:lang w:val="en-GB" w:eastAsia="fr-BE"/>
          <w14:ligatures w14:val="none"/>
        </w:rPr>
      </w:pPr>
      <w:r w:rsidRPr="00B72A76">
        <w:rPr>
          <w:rFonts w:ascii="Times New Roman" w:eastAsia="Times New Roman" w:hAnsi="Times New Roman" w:cs="Times New Roman"/>
          <w:b/>
          <w:smallCaps/>
          <w:color w:val="215E99" w:themeColor="text2" w:themeTint="BF"/>
          <w:kern w:val="0"/>
          <w:sz w:val="40"/>
          <w:szCs w:val="40"/>
          <w:lang w:val="en-GB" w:eastAsia="fr-BE"/>
          <w14:ligatures w14:val="none"/>
        </w:rPr>
        <w:t>REALITY CHECK WORKSHOP</w:t>
      </w:r>
    </w:p>
    <w:p w14:paraId="76E47AE0" w14:textId="12FD9D69" w:rsidR="007D15E7" w:rsidRPr="007D15E7" w:rsidRDefault="00B72A76" w:rsidP="00B72A76">
      <w:pPr>
        <w:spacing w:after="120" w:line="240" w:lineRule="auto"/>
        <w:jc w:val="center"/>
        <w:rPr>
          <w:rFonts w:ascii="Times New Roman" w:eastAsia="Times New Roman" w:hAnsi="Times New Roman" w:cs="Times New Roman"/>
          <w:bCs/>
          <w:smallCaps/>
          <w:color w:val="215E99" w:themeColor="text2" w:themeTint="BF"/>
          <w:kern w:val="0"/>
          <w:sz w:val="24"/>
          <w:szCs w:val="24"/>
          <w:lang w:val="en-GB" w:eastAsia="fr-BE"/>
          <w14:ligatures w14:val="none"/>
        </w:rPr>
      </w:pPr>
      <w:r w:rsidRPr="00B72A76">
        <w:rPr>
          <w:rFonts w:ascii="Times New Roman" w:eastAsia="Times New Roman" w:hAnsi="Times New Roman" w:cs="Times New Roman"/>
          <w:bCs/>
          <w:smallCaps/>
          <w:color w:val="215E99" w:themeColor="text2" w:themeTint="BF"/>
          <w:kern w:val="0"/>
          <w:sz w:val="24"/>
          <w:szCs w:val="24"/>
          <w:lang w:val="en-GB" w:eastAsia="fr-BE"/>
          <w14:ligatures w14:val="none"/>
        </w:rPr>
        <w:t>ON THE POSSIBLE SIMPLIFICATION OF</w:t>
      </w:r>
      <w:r w:rsidR="00C3245A">
        <w:rPr>
          <w:rFonts w:ascii="Times New Roman" w:eastAsia="Times New Roman" w:hAnsi="Times New Roman" w:cs="Times New Roman"/>
          <w:bCs/>
          <w:smallCaps/>
          <w:color w:val="215E99" w:themeColor="text2" w:themeTint="BF"/>
          <w:kern w:val="0"/>
          <w:sz w:val="24"/>
          <w:szCs w:val="24"/>
          <w:lang w:val="en-GB" w:eastAsia="fr-BE"/>
          <w14:ligatures w14:val="none"/>
        </w:rPr>
        <w:t xml:space="preserve"> THE COSMETIC PRODUCTS REGULATION </w:t>
      </w:r>
    </w:p>
    <w:p w14:paraId="23EC2CDD" w14:textId="2A7F7627" w:rsidR="00B72A76" w:rsidRPr="00B72A76" w:rsidRDefault="00B72A76" w:rsidP="00B72A76">
      <w:pPr>
        <w:spacing w:after="120" w:line="240" w:lineRule="auto"/>
        <w:jc w:val="center"/>
        <w:rPr>
          <w:rFonts w:ascii="Times New Roman" w:eastAsia="Times New Roman" w:hAnsi="Times New Roman" w:cs="Times New Roman"/>
          <w:bCs/>
          <w:smallCaps/>
          <w:color w:val="215E99" w:themeColor="text2" w:themeTint="BF"/>
          <w:kern w:val="0"/>
          <w:sz w:val="24"/>
          <w:szCs w:val="24"/>
          <w:lang w:val="en-GB" w:eastAsia="fr-BE"/>
          <w14:ligatures w14:val="none"/>
        </w:rPr>
      </w:pPr>
      <w:r w:rsidRPr="00B72A76">
        <w:rPr>
          <w:rFonts w:ascii="Times New Roman" w:eastAsia="Times New Roman" w:hAnsi="Times New Roman" w:cs="Times New Roman"/>
          <w:bCs/>
          <w:smallCaps/>
          <w:color w:val="215E99" w:themeColor="text2" w:themeTint="BF"/>
          <w:kern w:val="0"/>
          <w:sz w:val="24"/>
          <w:szCs w:val="24"/>
          <w:lang w:val="en-GB" w:eastAsia="fr-BE"/>
          <w14:ligatures w14:val="none"/>
        </w:rPr>
        <w:t>Friday 16 May 2025</w:t>
      </w:r>
      <w:r w:rsidRPr="007D15E7">
        <w:rPr>
          <w:rFonts w:ascii="Times New Roman" w:eastAsia="Times New Roman" w:hAnsi="Times New Roman" w:cs="Times New Roman"/>
          <w:bCs/>
          <w:smallCaps/>
          <w:color w:val="215E99" w:themeColor="text2" w:themeTint="BF"/>
          <w:kern w:val="0"/>
          <w:sz w:val="24"/>
          <w:szCs w:val="24"/>
          <w:lang w:val="en-GB" w:eastAsia="fr-BE"/>
          <w14:ligatures w14:val="none"/>
        </w:rPr>
        <w:t xml:space="preserve">, </w:t>
      </w:r>
      <w:r w:rsidRPr="00B72A76">
        <w:rPr>
          <w:rFonts w:ascii="Times New Roman" w:eastAsia="Times New Roman" w:hAnsi="Times New Roman" w:cs="Times New Roman"/>
          <w:bCs/>
          <w:smallCaps/>
          <w:color w:val="215E99" w:themeColor="text2" w:themeTint="BF"/>
          <w:kern w:val="0"/>
          <w:sz w:val="24"/>
          <w:szCs w:val="24"/>
          <w:lang w:val="en-GB" w:eastAsia="fr-BE"/>
          <w14:ligatures w14:val="none"/>
        </w:rPr>
        <w:t>14:00 – 17:30</w:t>
      </w:r>
    </w:p>
    <w:p w14:paraId="643D5F6E" w14:textId="77777777" w:rsidR="00B72A76" w:rsidRPr="007D15E7" w:rsidRDefault="00B72A76">
      <w:pPr>
        <w:rPr>
          <w:color w:val="215E99" w:themeColor="text2" w:themeTint="BF"/>
        </w:rPr>
      </w:pPr>
    </w:p>
    <w:p w14:paraId="515319B8" w14:textId="2C5D7439" w:rsidR="00615875" w:rsidRDefault="00615875" w:rsidP="00B72A76">
      <w:pPr>
        <w:pStyle w:val="Heading1"/>
        <w:numPr>
          <w:ilvl w:val="0"/>
          <w:numId w:val="8"/>
        </w:numPr>
        <w:rPr>
          <w:rFonts w:eastAsia="Times New Roman"/>
          <w:lang w:val="en-GB" w:eastAsia="fr-BE"/>
        </w:rPr>
      </w:pPr>
      <w:r>
        <w:rPr>
          <w:rFonts w:eastAsia="Times New Roman"/>
          <w:lang w:val="en-GB" w:eastAsia="fr-BE"/>
        </w:rPr>
        <w:t>Simplification initiatives</w:t>
      </w:r>
    </w:p>
    <w:p w14:paraId="7C08B3F4" w14:textId="51E791E9" w:rsidR="00615875" w:rsidRDefault="00615875" w:rsidP="0092479B">
      <w:pPr>
        <w:jc w:val="both"/>
        <w:rPr>
          <w:rFonts w:ascii="Times New Roman" w:hAnsi="Times New Roman" w:cs="Times New Roman"/>
          <w:sz w:val="24"/>
          <w:szCs w:val="24"/>
          <w:lang w:val="en-GB"/>
        </w:rPr>
      </w:pPr>
      <w:r>
        <w:rPr>
          <w:rFonts w:ascii="Times New Roman" w:hAnsi="Times New Roman" w:cs="Times New Roman"/>
          <w:sz w:val="24"/>
          <w:szCs w:val="24"/>
          <w:lang w:val="en-GB"/>
        </w:rPr>
        <w:t>In the Communication on implementation and simplification, the Commission stressed that in its approach to simplification it will</w:t>
      </w:r>
      <w:r w:rsidR="0092479B">
        <w:rPr>
          <w:rFonts w:ascii="Times New Roman" w:hAnsi="Times New Roman" w:cs="Times New Roman"/>
          <w:sz w:val="24"/>
          <w:szCs w:val="24"/>
          <w:lang w:val="en-GB"/>
        </w:rPr>
        <w:t xml:space="preserve"> be</w:t>
      </w:r>
      <w:r>
        <w:rPr>
          <w:rFonts w:ascii="Times New Roman" w:hAnsi="Times New Roman" w:cs="Times New Roman"/>
          <w:sz w:val="24"/>
          <w:szCs w:val="24"/>
          <w:lang w:val="en-GB"/>
        </w:rPr>
        <w:t xml:space="preserve"> guided </w:t>
      </w:r>
      <w:r w:rsidR="0092479B">
        <w:rPr>
          <w:rFonts w:ascii="Times New Roman" w:hAnsi="Times New Roman" w:cs="Times New Roman"/>
          <w:sz w:val="24"/>
          <w:szCs w:val="24"/>
          <w:lang w:val="en-GB"/>
        </w:rPr>
        <w:t>‘</w:t>
      </w:r>
      <w:r w:rsidR="0092479B" w:rsidRPr="008C7899">
        <w:rPr>
          <w:rFonts w:ascii="Times New Roman" w:hAnsi="Times New Roman" w:cs="Times New Roman"/>
          <w:i/>
          <w:iCs/>
          <w:sz w:val="24"/>
          <w:szCs w:val="24"/>
          <w:lang w:val="en-GB"/>
        </w:rPr>
        <w:t>by the need to take stock of the past, navigate the present and shape the future’</w:t>
      </w:r>
      <w:r w:rsidR="0092479B" w:rsidRPr="0092479B">
        <w:rPr>
          <w:rFonts w:ascii="Times New Roman" w:hAnsi="Times New Roman" w:cs="Times New Roman"/>
          <w:sz w:val="24"/>
          <w:szCs w:val="24"/>
          <w:lang w:val="en-GB"/>
        </w:rPr>
        <w:t>.</w:t>
      </w:r>
      <w:r w:rsidR="0092479B">
        <w:rPr>
          <w:rFonts w:ascii="Times New Roman" w:hAnsi="Times New Roman" w:cs="Times New Roman"/>
          <w:sz w:val="24"/>
          <w:szCs w:val="24"/>
          <w:lang w:val="en-GB"/>
        </w:rPr>
        <w:t xml:space="preserve"> The Commission announced that it </w:t>
      </w:r>
      <w:r w:rsidR="0092479B" w:rsidRPr="0092479B">
        <w:rPr>
          <w:rFonts w:ascii="Times New Roman" w:hAnsi="Times New Roman" w:cs="Times New Roman"/>
          <w:sz w:val="24"/>
          <w:szCs w:val="24"/>
          <w:lang w:val="en-GB"/>
        </w:rPr>
        <w:t>w</w:t>
      </w:r>
      <w:r w:rsidR="0092479B">
        <w:rPr>
          <w:rFonts w:ascii="Times New Roman" w:hAnsi="Times New Roman" w:cs="Times New Roman"/>
          <w:sz w:val="24"/>
          <w:szCs w:val="24"/>
          <w:lang w:val="en-GB"/>
        </w:rPr>
        <w:t>ould</w:t>
      </w:r>
      <w:r w:rsidR="0092479B" w:rsidRPr="0092479B">
        <w:rPr>
          <w:rFonts w:ascii="Times New Roman" w:hAnsi="Times New Roman" w:cs="Times New Roman"/>
          <w:sz w:val="24"/>
          <w:szCs w:val="24"/>
          <w:lang w:val="en-GB"/>
        </w:rPr>
        <w:t xml:space="preserve"> review and adapt </w:t>
      </w:r>
      <w:r w:rsidR="0092479B">
        <w:rPr>
          <w:rFonts w:ascii="Times New Roman" w:hAnsi="Times New Roman" w:cs="Times New Roman"/>
          <w:sz w:val="24"/>
          <w:szCs w:val="24"/>
          <w:lang w:val="en-GB"/>
        </w:rPr>
        <w:t xml:space="preserve">the EU </w:t>
      </w:r>
      <w:r w:rsidR="0092479B" w:rsidRPr="0092479B">
        <w:rPr>
          <w:rFonts w:ascii="Times New Roman" w:hAnsi="Times New Roman" w:cs="Times New Roman"/>
          <w:sz w:val="24"/>
          <w:szCs w:val="24"/>
          <w:lang w:val="en-GB"/>
        </w:rPr>
        <w:t>regulatory framework to</w:t>
      </w:r>
      <w:r w:rsidR="0092479B">
        <w:rPr>
          <w:rFonts w:ascii="Times New Roman" w:hAnsi="Times New Roman" w:cs="Times New Roman"/>
          <w:sz w:val="24"/>
          <w:szCs w:val="24"/>
          <w:lang w:val="en-GB"/>
        </w:rPr>
        <w:t xml:space="preserve"> </w:t>
      </w:r>
      <w:r w:rsidR="0092479B" w:rsidRPr="0092479B">
        <w:rPr>
          <w:rFonts w:ascii="Times New Roman" w:hAnsi="Times New Roman" w:cs="Times New Roman"/>
          <w:sz w:val="24"/>
          <w:szCs w:val="24"/>
          <w:lang w:val="en-GB"/>
        </w:rPr>
        <w:t xml:space="preserve">make it more responsive to the needs of people and businesses </w:t>
      </w:r>
      <w:r w:rsidR="0092479B">
        <w:rPr>
          <w:rFonts w:ascii="Times New Roman" w:hAnsi="Times New Roman" w:cs="Times New Roman"/>
          <w:sz w:val="24"/>
          <w:szCs w:val="24"/>
          <w:lang w:val="en-GB"/>
        </w:rPr>
        <w:t>and that t</w:t>
      </w:r>
      <w:r w:rsidR="0092479B" w:rsidRPr="0092479B">
        <w:rPr>
          <w:rFonts w:ascii="Times New Roman" w:hAnsi="Times New Roman" w:cs="Times New Roman"/>
          <w:sz w:val="24"/>
          <w:szCs w:val="24"/>
          <w:lang w:val="en-GB"/>
        </w:rPr>
        <w:t xml:space="preserve">hrough all these actions, </w:t>
      </w:r>
      <w:r w:rsidR="0092479B">
        <w:rPr>
          <w:rFonts w:ascii="Times New Roman" w:hAnsi="Times New Roman" w:cs="Times New Roman"/>
          <w:sz w:val="24"/>
          <w:szCs w:val="24"/>
          <w:lang w:val="en-GB"/>
        </w:rPr>
        <w:t>it</w:t>
      </w:r>
      <w:r w:rsidR="0092479B" w:rsidRPr="0092479B">
        <w:rPr>
          <w:rFonts w:ascii="Times New Roman" w:hAnsi="Times New Roman" w:cs="Times New Roman"/>
          <w:sz w:val="24"/>
          <w:szCs w:val="24"/>
          <w:lang w:val="en-GB"/>
        </w:rPr>
        <w:t xml:space="preserve"> w</w:t>
      </w:r>
      <w:r w:rsidR="0092479B">
        <w:rPr>
          <w:rFonts w:ascii="Times New Roman" w:hAnsi="Times New Roman" w:cs="Times New Roman"/>
          <w:sz w:val="24"/>
          <w:szCs w:val="24"/>
          <w:lang w:val="en-GB"/>
        </w:rPr>
        <w:t>ould</w:t>
      </w:r>
      <w:r w:rsidR="0092479B" w:rsidRPr="0092479B">
        <w:rPr>
          <w:rFonts w:ascii="Times New Roman" w:hAnsi="Times New Roman" w:cs="Times New Roman"/>
          <w:sz w:val="24"/>
          <w:szCs w:val="24"/>
          <w:lang w:val="en-GB"/>
        </w:rPr>
        <w:t xml:space="preserve"> pursue a more effective and efficient delivery on</w:t>
      </w:r>
      <w:r w:rsidR="0092479B">
        <w:rPr>
          <w:rFonts w:ascii="Times New Roman" w:hAnsi="Times New Roman" w:cs="Times New Roman"/>
          <w:sz w:val="24"/>
          <w:szCs w:val="24"/>
          <w:lang w:val="en-GB"/>
        </w:rPr>
        <w:t xml:space="preserve"> the EU</w:t>
      </w:r>
      <w:r w:rsidR="0092479B" w:rsidRPr="0092479B">
        <w:rPr>
          <w:rFonts w:ascii="Times New Roman" w:hAnsi="Times New Roman" w:cs="Times New Roman"/>
          <w:sz w:val="24"/>
          <w:szCs w:val="24"/>
          <w:lang w:val="en-GB"/>
        </w:rPr>
        <w:t xml:space="preserve"> economic, social and environmental goals</w:t>
      </w:r>
      <w:r w:rsidR="0092479B">
        <w:rPr>
          <w:rFonts w:ascii="Times New Roman" w:hAnsi="Times New Roman" w:cs="Times New Roman"/>
          <w:sz w:val="24"/>
          <w:szCs w:val="24"/>
          <w:lang w:val="en-GB"/>
        </w:rPr>
        <w:t>.</w:t>
      </w:r>
    </w:p>
    <w:p w14:paraId="54B5FA82" w14:textId="14F6CD52" w:rsidR="0092479B" w:rsidRPr="00615875" w:rsidRDefault="0092479B" w:rsidP="0092479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Commission has been promoting the </w:t>
      </w:r>
      <w:r w:rsidR="00DB2B84">
        <w:rPr>
          <w:rFonts w:ascii="Times New Roman" w:hAnsi="Times New Roman" w:cs="Times New Roman"/>
          <w:sz w:val="24"/>
          <w:szCs w:val="24"/>
          <w:lang w:val="en-GB"/>
        </w:rPr>
        <w:t>“</w:t>
      </w:r>
      <w:r>
        <w:rPr>
          <w:rFonts w:ascii="Times New Roman" w:hAnsi="Times New Roman" w:cs="Times New Roman"/>
          <w:sz w:val="24"/>
          <w:szCs w:val="24"/>
          <w:lang w:val="en-GB"/>
        </w:rPr>
        <w:t>r</w:t>
      </w:r>
      <w:r w:rsidRPr="0092479B">
        <w:rPr>
          <w:rFonts w:ascii="Times New Roman" w:hAnsi="Times New Roman" w:cs="Times New Roman"/>
          <w:sz w:val="24"/>
          <w:szCs w:val="24"/>
          <w:lang w:val="en-GB"/>
        </w:rPr>
        <w:t>eality checks</w:t>
      </w:r>
      <w:r w:rsidR="00DB2B84">
        <w:rPr>
          <w:rFonts w:ascii="Times New Roman" w:hAnsi="Times New Roman" w:cs="Times New Roman"/>
          <w:sz w:val="24"/>
          <w:szCs w:val="24"/>
          <w:lang w:val="en-GB"/>
        </w:rPr>
        <w:t>”</w:t>
      </w:r>
      <w:r w:rsidRPr="0092479B">
        <w:rPr>
          <w:rFonts w:ascii="Times New Roman" w:hAnsi="Times New Roman" w:cs="Times New Roman"/>
          <w:sz w:val="24"/>
          <w:szCs w:val="24"/>
          <w:lang w:val="en-GB"/>
        </w:rPr>
        <w:t xml:space="preserve"> </w:t>
      </w:r>
      <w:r>
        <w:rPr>
          <w:rFonts w:ascii="Times New Roman" w:hAnsi="Times New Roman" w:cs="Times New Roman"/>
          <w:sz w:val="24"/>
          <w:szCs w:val="24"/>
          <w:lang w:val="en-GB"/>
        </w:rPr>
        <w:t>as a</w:t>
      </w:r>
      <w:r w:rsidRPr="0092479B">
        <w:rPr>
          <w:rFonts w:ascii="Times New Roman" w:hAnsi="Times New Roman" w:cs="Times New Roman"/>
          <w:sz w:val="24"/>
          <w:szCs w:val="24"/>
          <w:lang w:val="en-GB"/>
        </w:rPr>
        <w:t xml:space="preserve"> new consultation tool, at technical level, focused on ensuring that policy objectives are achieved, and administrative burdens are minimised. Commission services </w:t>
      </w:r>
      <w:r w:rsidR="00DB2B84">
        <w:rPr>
          <w:rFonts w:ascii="Times New Roman" w:hAnsi="Times New Roman" w:cs="Times New Roman"/>
          <w:sz w:val="24"/>
          <w:szCs w:val="24"/>
          <w:lang w:val="en-GB"/>
        </w:rPr>
        <w:t>would like to, through the</w:t>
      </w:r>
      <w:r>
        <w:rPr>
          <w:rFonts w:ascii="Times New Roman" w:hAnsi="Times New Roman" w:cs="Times New Roman"/>
          <w:sz w:val="24"/>
          <w:szCs w:val="24"/>
          <w:lang w:val="en-GB"/>
        </w:rPr>
        <w:t xml:space="preserve"> </w:t>
      </w:r>
      <w:r w:rsidR="00DB2B84">
        <w:rPr>
          <w:rFonts w:ascii="Times New Roman" w:hAnsi="Times New Roman" w:cs="Times New Roman"/>
          <w:sz w:val="24"/>
          <w:szCs w:val="24"/>
          <w:lang w:val="en-GB"/>
        </w:rPr>
        <w:t>“</w:t>
      </w:r>
      <w:r>
        <w:rPr>
          <w:rFonts w:ascii="Times New Roman" w:hAnsi="Times New Roman" w:cs="Times New Roman"/>
          <w:sz w:val="24"/>
          <w:szCs w:val="24"/>
          <w:lang w:val="en-GB"/>
        </w:rPr>
        <w:t>reality check</w:t>
      </w:r>
      <w:r w:rsidR="00DB2B8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92479B">
        <w:rPr>
          <w:rFonts w:ascii="Times New Roman" w:hAnsi="Times New Roman" w:cs="Times New Roman"/>
          <w:sz w:val="24"/>
          <w:szCs w:val="24"/>
          <w:lang w:val="en-GB"/>
        </w:rPr>
        <w:t xml:space="preserve">seek detailed technical feedback from </w:t>
      </w:r>
      <w:r w:rsidR="00DB2B84">
        <w:rPr>
          <w:rFonts w:ascii="Times New Roman" w:hAnsi="Times New Roman" w:cs="Times New Roman"/>
          <w:sz w:val="24"/>
          <w:szCs w:val="24"/>
          <w:lang w:val="en-GB"/>
        </w:rPr>
        <w:t>the businesses, competent authorities and other actors in the cosmetics area</w:t>
      </w:r>
      <w:r w:rsidRPr="0092479B">
        <w:rPr>
          <w:rFonts w:ascii="Times New Roman" w:hAnsi="Times New Roman" w:cs="Times New Roman"/>
          <w:sz w:val="24"/>
          <w:szCs w:val="24"/>
          <w:lang w:val="en-GB"/>
        </w:rPr>
        <w:t xml:space="preserve"> on the implementation of EU </w:t>
      </w:r>
      <w:r w:rsidR="00DB2B84">
        <w:rPr>
          <w:rFonts w:ascii="Times New Roman" w:hAnsi="Times New Roman" w:cs="Times New Roman"/>
          <w:sz w:val="24"/>
          <w:szCs w:val="24"/>
          <w:lang w:val="en-GB"/>
        </w:rPr>
        <w:t xml:space="preserve">rules on cosmetics </w:t>
      </w:r>
      <w:r w:rsidRPr="0092479B">
        <w:rPr>
          <w:rFonts w:ascii="Times New Roman" w:hAnsi="Times New Roman" w:cs="Times New Roman"/>
          <w:sz w:val="24"/>
          <w:szCs w:val="24"/>
          <w:lang w:val="en-GB"/>
        </w:rPr>
        <w:t xml:space="preserve">on </w:t>
      </w:r>
      <w:r w:rsidR="00DB2B84">
        <w:rPr>
          <w:rFonts w:ascii="Times New Roman" w:hAnsi="Times New Roman" w:cs="Times New Roman"/>
          <w:sz w:val="24"/>
          <w:szCs w:val="24"/>
          <w:lang w:val="en-GB"/>
        </w:rPr>
        <w:t xml:space="preserve">possible </w:t>
      </w:r>
      <w:r w:rsidRPr="0092479B">
        <w:rPr>
          <w:rFonts w:ascii="Times New Roman" w:hAnsi="Times New Roman" w:cs="Times New Roman"/>
          <w:sz w:val="24"/>
          <w:szCs w:val="24"/>
          <w:lang w:val="en-GB"/>
        </w:rPr>
        <w:t>measures to make them simpler and facilitate their implementation</w:t>
      </w:r>
    </w:p>
    <w:p w14:paraId="36B2E991" w14:textId="5B2F919D" w:rsidR="00B72A76" w:rsidRDefault="00B72A76" w:rsidP="00B72A76">
      <w:pPr>
        <w:pStyle w:val="Heading1"/>
        <w:numPr>
          <w:ilvl w:val="0"/>
          <w:numId w:val="8"/>
        </w:numPr>
        <w:rPr>
          <w:rFonts w:eastAsia="Times New Roman"/>
          <w:lang w:val="en-GB" w:eastAsia="fr-BE"/>
        </w:rPr>
      </w:pPr>
      <w:r>
        <w:rPr>
          <w:rFonts w:eastAsia="Times New Roman"/>
          <w:lang w:val="en-GB" w:eastAsia="fr-BE"/>
        </w:rPr>
        <w:t>P</w:t>
      </w:r>
      <w:r w:rsidRPr="00B72A76">
        <w:rPr>
          <w:rFonts w:eastAsia="Times New Roman"/>
          <w:lang w:val="en-GB" w:eastAsia="fr-BE"/>
        </w:rPr>
        <w:t>otential areas for simplification and burden reduction</w:t>
      </w:r>
    </w:p>
    <w:p w14:paraId="6104619E" w14:textId="3ABCA54D" w:rsidR="003C2D62" w:rsidRPr="008C7899" w:rsidRDefault="003C2D62" w:rsidP="008C7899">
      <w:pPr>
        <w:jc w:val="both"/>
        <w:rPr>
          <w:rFonts w:ascii="Times New Roman" w:hAnsi="Times New Roman" w:cs="Times New Roman"/>
          <w:sz w:val="24"/>
          <w:szCs w:val="24"/>
          <w:lang w:val="en-GB" w:eastAsia="fr-BE"/>
        </w:rPr>
      </w:pPr>
      <w:r w:rsidRPr="008C7899">
        <w:rPr>
          <w:rFonts w:ascii="Times New Roman" w:hAnsi="Times New Roman" w:cs="Times New Roman"/>
          <w:sz w:val="24"/>
          <w:szCs w:val="24"/>
          <w:lang w:val="en-GB" w:eastAsia="fr-BE"/>
        </w:rPr>
        <w:t xml:space="preserve">Although </w:t>
      </w:r>
      <w:r w:rsidR="00B922B1" w:rsidRPr="00896F5D">
        <w:rPr>
          <w:rFonts w:ascii="Times New Roman" w:hAnsi="Times New Roman" w:cs="Times New Roman"/>
          <w:sz w:val="24"/>
          <w:szCs w:val="24"/>
          <w:lang w:val="en-GB"/>
        </w:rPr>
        <w:t xml:space="preserve">Regulation (EC) N° 1223/2009 on cosmetic products (Cosmetic Products Regulation, hereinafter as CPR) </w:t>
      </w:r>
      <w:r w:rsidRPr="008C7899">
        <w:rPr>
          <w:rFonts w:ascii="Times New Roman" w:hAnsi="Times New Roman" w:cs="Times New Roman"/>
          <w:sz w:val="24"/>
          <w:szCs w:val="24"/>
          <w:lang w:val="en-GB" w:eastAsia="fr-BE"/>
        </w:rPr>
        <w:t xml:space="preserve">is currently subject to </w:t>
      </w:r>
      <w:r w:rsidR="00B922B1" w:rsidRPr="008C7899">
        <w:rPr>
          <w:rFonts w:ascii="Times New Roman" w:hAnsi="Times New Roman" w:cs="Times New Roman"/>
          <w:sz w:val="24"/>
          <w:szCs w:val="24"/>
          <w:lang w:val="en-GB" w:eastAsia="fr-BE"/>
        </w:rPr>
        <w:t>a full-fledged</w:t>
      </w:r>
      <w:r w:rsidRPr="008C7899">
        <w:rPr>
          <w:rFonts w:ascii="Times New Roman" w:hAnsi="Times New Roman" w:cs="Times New Roman"/>
          <w:sz w:val="24"/>
          <w:szCs w:val="24"/>
          <w:lang w:val="en-GB" w:eastAsia="fr-BE"/>
        </w:rPr>
        <w:t xml:space="preserve"> evaluation</w:t>
      </w:r>
      <w:r w:rsidRPr="008C7899">
        <w:rPr>
          <w:rStyle w:val="FootnoteReference"/>
          <w:rFonts w:ascii="Times New Roman" w:hAnsi="Times New Roman" w:cs="Times New Roman"/>
          <w:sz w:val="24"/>
          <w:szCs w:val="24"/>
          <w:lang w:val="en-GB" w:eastAsia="fr-BE"/>
        </w:rPr>
        <w:footnoteReference w:id="1"/>
      </w:r>
      <w:r w:rsidRPr="008C7899">
        <w:rPr>
          <w:rFonts w:ascii="Times New Roman" w:hAnsi="Times New Roman" w:cs="Times New Roman"/>
          <w:sz w:val="24"/>
          <w:szCs w:val="24"/>
          <w:lang w:val="en-GB" w:eastAsia="fr-BE"/>
        </w:rPr>
        <w:t xml:space="preserve"> in accordance with the Better Regulation Guidance, the Commission is currently considering whether there is a potential for simplification and burden reduction </w:t>
      </w:r>
      <w:r w:rsidR="00B922B1">
        <w:rPr>
          <w:rFonts w:ascii="Times New Roman" w:hAnsi="Times New Roman" w:cs="Times New Roman"/>
          <w:sz w:val="24"/>
          <w:szCs w:val="24"/>
          <w:lang w:val="en-GB" w:eastAsia="fr-BE"/>
        </w:rPr>
        <w:t>that</w:t>
      </w:r>
      <w:r w:rsidRPr="008C7899">
        <w:rPr>
          <w:rFonts w:ascii="Times New Roman" w:hAnsi="Times New Roman" w:cs="Times New Roman"/>
          <w:sz w:val="24"/>
          <w:szCs w:val="24"/>
          <w:lang w:val="en-GB" w:eastAsia="fr-BE"/>
        </w:rPr>
        <w:t xml:space="preserve"> could benefit stakeholders, especially businesses in </w:t>
      </w:r>
      <w:r w:rsidR="00B922B1">
        <w:rPr>
          <w:rFonts w:ascii="Times New Roman" w:hAnsi="Times New Roman" w:cs="Times New Roman"/>
          <w:sz w:val="24"/>
          <w:szCs w:val="24"/>
          <w:lang w:val="en-GB" w:eastAsia="fr-BE"/>
        </w:rPr>
        <w:t>the</w:t>
      </w:r>
      <w:r w:rsidRPr="008C7899">
        <w:rPr>
          <w:rFonts w:ascii="Times New Roman" w:hAnsi="Times New Roman" w:cs="Times New Roman"/>
          <w:sz w:val="24"/>
          <w:szCs w:val="24"/>
          <w:lang w:val="en-GB" w:eastAsia="fr-BE"/>
        </w:rPr>
        <w:t xml:space="preserve"> short to medium term. </w:t>
      </w:r>
    </w:p>
    <w:p w14:paraId="5ABA365B" w14:textId="68DF7E7D" w:rsidR="003C2D62" w:rsidRPr="008C7899" w:rsidRDefault="003C2D62" w:rsidP="009E68F8">
      <w:pPr>
        <w:spacing w:before="240" w:after="240"/>
        <w:jc w:val="both"/>
        <w:rPr>
          <w:rFonts w:ascii="Times New Roman" w:hAnsi="Times New Roman" w:cs="Times New Roman"/>
          <w:sz w:val="24"/>
          <w:szCs w:val="24"/>
          <w:lang w:val="en-GB" w:eastAsia="fr-BE"/>
        </w:rPr>
      </w:pPr>
      <w:r w:rsidRPr="008C7899">
        <w:rPr>
          <w:rFonts w:ascii="Times New Roman" w:hAnsi="Times New Roman" w:cs="Times New Roman"/>
          <w:sz w:val="24"/>
          <w:szCs w:val="24"/>
          <w:lang w:val="en-GB" w:eastAsia="fr-BE"/>
        </w:rPr>
        <w:t xml:space="preserve">Based on previous exchanges with stakeholders, the Commission has identified the following elements for potential action: </w:t>
      </w:r>
    </w:p>
    <w:p w14:paraId="08B721FE" w14:textId="721E44B3" w:rsidR="00B72A76" w:rsidRDefault="00B72A76" w:rsidP="009E68F8">
      <w:pPr>
        <w:pStyle w:val="Heading2"/>
        <w:numPr>
          <w:ilvl w:val="0"/>
          <w:numId w:val="7"/>
        </w:numPr>
        <w:spacing w:before="240" w:after="240"/>
        <w:rPr>
          <w:rFonts w:eastAsia="Times New Roman"/>
          <w:lang w:val="en-GB" w:eastAsia="fr-BE"/>
        </w:rPr>
      </w:pPr>
      <w:r w:rsidRPr="00B72A76">
        <w:rPr>
          <w:rFonts w:eastAsia="Times New Roman"/>
          <w:lang w:val="en-GB" w:eastAsia="fr-BE"/>
        </w:rPr>
        <w:t xml:space="preserve">Reducing administrative and compliance burden </w:t>
      </w:r>
      <w:r w:rsidR="00B922B1">
        <w:rPr>
          <w:rFonts w:eastAsia="Times New Roman"/>
          <w:lang w:val="en-GB" w:eastAsia="fr-BE"/>
        </w:rPr>
        <w:t>relevant</w:t>
      </w:r>
      <w:r w:rsidR="00B922B1" w:rsidRPr="00B72A76">
        <w:rPr>
          <w:rFonts w:eastAsia="Times New Roman"/>
          <w:lang w:val="en-GB" w:eastAsia="fr-BE"/>
        </w:rPr>
        <w:t xml:space="preserve"> </w:t>
      </w:r>
      <w:r w:rsidRPr="00B72A76">
        <w:rPr>
          <w:rFonts w:eastAsia="Times New Roman"/>
          <w:lang w:val="en-GB" w:eastAsia="fr-BE"/>
        </w:rPr>
        <w:t>to CMR classified ingredients (Article 15)</w:t>
      </w:r>
    </w:p>
    <w:p w14:paraId="0F18A013" w14:textId="697C4539" w:rsidR="007D15E7" w:rsidRPr="00896F5D" w:rsidRDefault="007D15E7" w:rsidP="007D15E7">
      <w:pPr>
        <w:spacing w:after="120"/>
        <w:jc w:val="both"/>
        <w:rPr>
          <w:rFonts w:ascii="Times New Roman" w:hAnsi="Times New Roman" w:cs="Times New Roman"/>
          <w:sz w:val="24"/>
          <w:szCs w:val="24"/>
          <w:lang w:val="en-GB"/>
        </w:rPr>
      </w:pPr>
      <w:r w:rsidRPr="00896F5D">
        <w:rPr>
          <w:rFonts w:ascii="Times New Roman" w:hAnsi="Times New Roman" w:cs="Times New Roman"/>
          <w:sz w:val="24"/>
          <w:szCs w:val="24"/>
          <w:lang w:val="en-GB"/>
        </w:rPr>
        <w:t xml:space="preserve">Article 15 of </w:t>
      </w:r>
      <w:r w:rsidR="00B922B1">
        <w:rPr>
          <w:rFonts w:ascii="Times New Roman" w:hAnsi="Times New Roman" w:cs="Times New Roman"/>
          <w:sz w:val="24"/>
          <w:szCs w:val="24"/>
          <w:lang w:val="en-GB"/>
        </w:rPr>
        <w:t>the</w:t>
      </w:r>
      <w:r w:rsidRPr="00896F5D">
        <w:rPr>
          <w:rFonts w:ascii="Times New Roman" w:hAnsi="Times New Roman" w:cs="Times New Roman"/>
          <w:sz w:val="24"/>
          <w:szCs w:val="24"/>
          <w:lang w:val="en-GB"/>
        </w:rPr>
        <w:t xml:space="preserve"> CPR establishes that substances </w:t>
      </w:r>
      <w:r w:rsidR="00B922B1">
        <w:rPr>
          <w:rFonts w:ascii="Times New Roman" w:hAnsi="Times New Roman" w:cs="Times New Roman"/>
          <w:sz w:val="24"/>
          <w:szCs w:val="24"/>
          <w:lang w:val="en-GB"/>
        </w:rPr>
        <w:t>that</w:t>
      </w:r>
      <w:r w:rsidR="00B922B1" w:rsidRPr="00896F5D">
        <w:rPr>
          <w:rFonts w:ascii="Times New Roman" w:hAnsi="Times New Roman" w:cs="Times New Roman"/>
          <w:sz w:val="24"/>
          <w:szCs w:val="24"/>
          <w:lang w:val="en-GB"/>
        </w:rPr>
        <w:t xml:space="preserve"> </w:t>
      </w:r>
      <w:r w:rsidRPr="00896F5D">
        <w:rPr>
          <w:rFonts w:ascii="Times New Roman" w:hAnsi="Times New Roman" w:cs="Times New Roman"/>
          <w:sz w:val="24"/>
          <w:szCs w:val="24"/>
          <w:lang w:val="en-GB"/>
        </w:rPr>
        <w:t xml:space="preserve">have been classified as carcinogenic, mutagenic or reprotoxic (CMR) in Annex VI to Regulation (EC) 1272/2008 on classification, labelling and packaging of chemical substances and mixtures (CLP Regulation) are prohibited for use in cosmetic products, unless an exemption has been granted. More specifically, </w:t>
      </w:r>
    </w:p>
    <w:p w14:paraId="3EC1C315" w14:textId="77777777" w:rsidR="007D15E7" w:rsidRPr="00896F5D" w:rsidRDefault="007D15E7" w:rsidP="007D15E7">
      <w:pPr>
        <w:pStyle w:val="ListParagraph"/>
        <w:numPr>
          <w:ilvl w:val="0"/>
          <w:numId w:val="9"/>
        </w:numPr>
        <w:spacing w:after="120"/>
        <w:contextualSpacing w:val="0"/>
        <w:jc w:val="both"/>
        <w:rPr>
          <w:rFonts w:ascii="Times New Roman" w:hAnsi="Times New Roman" w:cs="Times New Roman"/>
          <w:sz w:val="24"/>
          <w:szCs w:val="24"/>
          <w:lang w:val="en-GB"/>
        </w:rPr>
      </w:pPr>
      <w:r w:rsidRPr="00896F5D">
        <w:rPr>
          <w:rFonts w:ascii="Times New Roman" w:hAnsi="Times New Roman" w:cs="Times New Roman"/>
          <w:sz w:val="24"/>
          <w:szCs w:val="24"/>
          <w:lang w:val="en-GB"/>
        </w:rPr>
        <w:lastRenderedPageBreak/>
        <w:t xml:space="preserve">Pursuant to Article 15(1) of the CPR, the use of a CMR substance of category 2, listed in Part 3 of Annex VI to the CLP Regulation, is prohibited in cosmetic products </w:t>
      </w:r>
      <w:r w:rsidRPr="00896F5D">
        <w:rPr>
          <w:rFonts w:ascii="Times New Roman" w:hAnsi="Times New Roman" w:cs="Times New Roman"/>
          <w:b/>
          <w:bCs/>
          <w:sz w:val="24"/>
          <w:szCs w:val="24"/>
          <w:lang w:val="en-GB"/>
        </w:rPr>
        <w:t>unless</w:t>
      </w:r>
      <w:r w:rsidRPr="00896F5D">
        <w:rPr>
          <w:rFonts w:ascii="Times New Roman" w:hAnsi="Times New Roman" w:cs="Times New Roman"/>
          <w:sz w:val="24"/>
          <w:szCs w:val="24"/>
          <w:lang w:val="en-GB"/>
        </w:rPr>
        <w:t xml:space="preserve"> it has been evaluated by the SCCS </w:t>
      </w:r>
      <w:r w:rsidRPr="00896F5D">
        <w:rPr>
          <w:rFonts w:ascii="Times New Roman" w:hAnsi="Times New Roman" w:cs="Times New Roman"/>
          <w:b/>
          <w:bCs/>
          <w:sz w:val="24"/>
          <w:szCs w:val="24"/>
          <w:lang w:val="en-GB"/>
        </w:rPr>
        <w:t>and</w:t>
      </w:r>
      <w:r w:rsidRPr="00896F5D">
        <w:rPr>
          <w:rFonts w:ascii="Times New Roman" w:hAnsi="Times New Roman" w:cs="Times New Roman"/>
          <w:sz w:val="24"/>
          <w:szCs w:val="24"/>
          <w:lang w:val="en-GB"/>
        </w:rPr>
        <w:t xml:space="preserve"> found safe for use in cosmetics.</w:t>
      </w:r>
    </w:p>
    <w:p w14:paraId="2A65CFBA" w14:textId="77777777" w:rsidR="007D15E7" w:rsidRPr="00896F5D" w:rsidRDefault="007D15E7" w:rsidP="007D15E7">
      <w:pPr>
        <w:pStyle w:val="ListParagraph"/>
        <w:numPr>
          <w:ilvl w:val="0"/>
          <w:numId w:val="9"/>
        </w:numPr>
        <w:spacing w:after="120"/>
        <w:contextualSpacing w:val="0"/>
        <w:jc w:val="both"/>
        <w:rPr>
          <w:rFonts w:ascii="Times New Roman" w:hAnsi="Times New Roman" w:cs="Times New Roman"/>
          <w:sz w:val="24"/>
          <w:szCs w:val="24"/>
          <w:lang w:val="en-GB"/>
        </w:rPr>
      </w:pPr>
      <w:r w:rsidRPr="00896F5D">
        <w:rPr>
          <w:rFonts w:ascii="Times New Roman" w:hAnsi="Times New Roman" w:cs="Times New Roman"/>
          <w:sz w:val="24"/>
          <w:szCs w:val="24"/>
          <w:lang w:val="en-GB"/>
        </w:rPr>
        <w:t xml:space="preserve">Article 15(2) provides that the use of substances classified as CMR substances of category 1A or 1B, listed in Part 3 of Annex VI to the CLP Regulation is prohibited in cosmetics, </w:t>
      </w:r>
      <w:r w:rsidRPr="00896F5D">
        <w:rPr>
          <w:rFonts w:ascii="Times New Roman" w:hAnsi="Times New Roman" w:cs="Times New Roman"/>
          <w:b/>
          <w:bCs/>
          <w:sz w:val="24"/>
          <w:szCs w:val="24"/>
          <w:lang w:val="en-GB"/>
        </w:rPr>
        <w:t>except</w:t>
      </w:r>
      <w:r w:rsidRPr="00896F5D">
        <w:rPr>
          <w:rFonts w:ascii="Times New Roman" w:hAnsi="Times New Roman" w:cs="Times New Roman"/>
          <w:sz w:val="24"/>
          <w:szCs w:val="24"/>
          <w:lang w:val="en-GB"/>
        </w:rPr>
        <w:t xml:space="preserve"> when the following criterial </w:t>
      </w:r>
      <w:r w:rsidRPr="00896F5D">
        <w:rPr>
          <w:rFonts w:ascii="Times New Roman" w:hAnsi="Times New Roman" w:cs="Times New Roman"/>
          <w:b/>
          <w:bCs/>
          <w:sz w:val="24"/>
          <w:szCs w:val="24"/>
          <w:lang w:val="en-GB"/>
        </w:rPr>
        <w:t>cumulatively</w:t>
      </w:r>
      <w:r w:rsidRPr="00896F5D">
        <w:rPr>
          <w:rFonts w:ascii="Times New Roman" w:hAnsi="Times New Roman" w:cs="Times New Roman"/>
          <w:sz w:val="24"/>
          <w:szCs w:val="24"/>
          <w:lang w:val="en-GB"/>
        </w:rPr>
        <w:t xml:space="preserve"> fulfilled:</w:t>
      </w:r>
    </w:p>
    <w:p w14:paraId="1EDED6E8" w14:textId="77777777" w:rsidR="007D15E7" w:rsidRPr="00896F5D" w:rsidRDefault="007D15E7" w:rsidP="007D15E7">
      <w:pPr>
        <w:pStyle w:val="ListParagraph"/>
        <w:numPr>
          <w:ilvl w:val="0"/>
          <w:numId w:val="10"/>
        </w:numPr>
        <w:spacing w:after="120"/>
        <w:contextualSpacing w:val="0"/>
        <w:jc w:val="both"/>
        <w:rPr>
          <w:rFonts w:ascii="Times New Roman" w:hAnsi="Times New Roman" w:cs="Times New Roman"/>
          <w:i/>
          <w:iCs/>
          <w:sz w:val="24"/>
          <w:szCs w:val="24"/>
          <w:lang w:val="en-GB"/>
        </w:rPr>
      </w:pPr>
      <w:r w:rsidRPr="00896F5D">
        <w:rPr>
          <w:rFonts w:ascii="Times New Roman" w:hAnsi="Times New Roman" w:cs="Times New Roman"/>
          <w:i/>
          <w:iCs/>
          <w:sz w:val="24"/>
          <w:szCs w:val="24"/>
          <w:lang w:val="en-GB"/>
        </w:rPr>
        <w:t xml:space="preserve">the substance complies with the </w:t>
      </w:r>
      <w:r w:rsidRPr="00896F5D">
        <w:rPr>
          <w:rFonts w:ascii="Times New Roman" w:hAnsi="Times New Roman" w:cs="Times New Roman"/>
          <w:b/>
          <w:bCs/>
          <w:i/>
          <w:iCs/>
          <w:sz w:val="24"/>
          <w:szCs w:val="24"/>
          <w:lang w:val="en-GB"/>
        </w:rPr>
        <w:t>food safety requirements</w:t>
      </w:r>
    </w:p>
    <w:p w14:paraId="65E74EEE" w14:textId="77777777" w:rsidR="007D15E7" w:rsidRPr="00896F5D" w:rsidRDefault="007D15E7" w:rsidP="007D15E7">
      <w:pPr>
        <w:pStyle w:val="ListParagraph"/>
        <w:numPr>
          <w:ilvl w:val="0"/>
          <w:numId w:val="10"/>
        </w:numPr>
        <w:spacing w:after="120"/>
        <w:contextualSpacing w:val="0"/>
        <w:jc w:val="both"/>
        <w:rPr>
          <w:rFonts w:ascii="Times New Roman" w:hAnsi="Times New Roman" w:cs="Times New Roman"/>
          <w:i/>
          <w:iCs/>
          <w:sz w:val="24"/>
          <w:szCs w:val="24"/>
          <w:lang w:val="en-GB"/>
        </w:rPr>
      </w:pPr>
      <w:r w:rsidRPr="00896F5D">
        <w:rPr>
          <w:rFonts w:ascii="Times New Roman" w:hAnsi="Times New Roman" w:cs="Times New Roman"/>
          <w:i/>
          <w:iCs/>
          <w:sz w:val="24"/>
          <w:szCs w:val="24"/>
          <w:lang w:val="en-GB"/>
        </w:rPr>
        <w:t xml:space="preserve">there are </w:t>
      </w:r>
      <w:r w:rsidRPr="00896F5D">
        <w:rPr>
          <w:rFonts w:ascii="Times New Roman" w:hAnsi="Times New Roman" w:cs="Times New Roman"/>
          <w:b/>
          <w:bCs/>
          <w:i/>
          <w:iCs/>
          <w:sz w:val="24"/>
          <w:szCs w:val="24"/>
          <w:lang w:val="en-GB"/>
        </w:rPr>
        <w:t>no suitable alternatives</w:t>
      </w:r>
    </w:p>
    <w:p w14:paraId="75CBF9B1" w14:textId="77777777" w:rsidR="007D15E7" w:rsidRPr="00896F5D" w:rsidRDefault="007D15E7" w:rsidP="007D15E7">
      <w:pPr>
        <w:pStyle w:val="ListParagraph"/>
        <w:numPr>
          <w:ilvl w:val="0"/>
          <w:numId w:val="10"/>
        </w:numPr>
        <w:spacing w:after="120"/>
        <w:contextualSpacing w:val="0"/>
        <w:jc w:val="both"/>
        <w:rPr>
          <w:rFonts w:ascii="Times New Roman" w:hAnsi="Times New Roman" w:cs="Times New Roman"/>
          <w:i/>
          <w:iCs/>
          <w:sz w:val="24"/>
          <w:szCs w:val="24"/>
          <w:lang w:val="en-GB"/>
        </w:rPr>
      </w:pPr>
      <w:r w:rsidRPr="00896F5D">
        <w:rPr>
          <w:rFonts w:ascii="Times New Roman" w:hAnsi="Times New Roman" w:cs="Times New Roman"/>
          <w:i/>
          <w:iCs/>
          <w:sz w:val="24"/>
          <w:szCs w:val="24"/>
          <w:lang w:val="en-GB"/>
        </w:rPr>
        <w:t xml:space="preserve">the application has been made for a </w:t>
      </w:r>
      <w:r w:rsidRPr="00896F5D">
        <w:rPr>
          <w:rFonts w:ascii="Times New Roman" w:hAnsi="Times New Roman" w:cs="Times New Roman"/>
          <w:b/>
          <w:bCs/>
          <w:i/>
          <w:iCs/>
          <w:sz w:val="24"/>
          <w:szCs w:val="24"/>
          <w:lang w:val="en-GB"/>
        </w:rPr>
        <w:t>particular use of the product category with a known exposure</w:t>
      </w:r>
      <w:r w:rsidRPr="00896F5D">
        <w:rPr>
          <w:rFonts w:ascii="Times New Roman" w:hAnsi="Times New Roman" w:cs="Times New Roman"/>
          <w:i/>
          <w:iCs/>
          <w:sz w:val="24"/>
          <w:szCs w:val="24"/>
          <w:lang w:val="en-GB"/>
        </w:rPr>
        <w:t>, and</w:t>
      </w:r>
    </w:p>
    <w:p w14:paraId="2D36F775" w14:textId="77777777" w:rsidR="007D15E7" w:rsidRPr="00896F5D" w:rsidRDefault="007D15E7" w:rsidP="007D15E7">
      <w:pPr>
        <w:pStyle w:val="ListParagraph"/>
        <w:numPr>
          <w:ilvl w:val="0"/>
          <w:numId w:val="10"/>
        </w:numPr>
        <w:spacing w:after="120"/>
        <w:contextualSpacing w:val="0"/>
        <w:jc w:val="both"/>
        <w:rPr>
          <w:rFonts w:ascii="Times New Roman" w:hAnsi="Times New Roman" w:cs="Times New Roman"/>
          <w:i/>
          <w:iCs/>
          <w:sz w:val="24"/>
          <w:szCs w:val="24"/>
          <w:lang w:val="en-GB"/>
        </w:rPr>
      </w:pPr>
      <w:r w:rsidRPr="00896F5D">
        <w:rPr>
          <w:rFonts w:ascii="Times New Roman" w:hAnsi="Times New Roman" w:cs="Times New Roman"/>
          <w:i/>
          <w:iCs/>
          <w:sz w:val="24"/>
          <w:szCs w:val="24"/>
          <w:lang w:val="en-GB"/>
        </w:rPr>
        <w:t xml:space="preserve">the substance has been </w:t>
      </w:r>
      <w:r w:rsidRPr="00896F5D">
        <w:rPr>
          <w:rFonts w:ascii="Times New Roman" w:hAnsi="Times New Roman" w:cs="Times New Roman"/>
          <w:b/>
          <w:bCs/>
          <w:i/>
          <w:iCs/>
          <w:sz w:val="24"/>
          <w:szCs w:val="24"/>
          <w:lang w:val="en-GB"/>
        </w:rPr>
        <w:t>evaluated and found safe by the SCCS</w:t>
      </w:r>
      <w:r w:rsidRPr="00896F5D">
        <w:rPr>
          <w:rFonts w:ascii="Times New Roman" w:hAnsi="Times New Roman" w:cs="Times New Roman"/>
          <w:i/>
          <w:iCs/>
          <w:sz w:val="24"/>
          <w:szCs w:val="24"/>
          <w:lang w:val="en-GB"/>
        </w:rPr>
        <w:t xml:space="preserve"> considering the cumulative exposure from other sources outside cosmetics.</w:t>
      </w:r>
    </w:p>
    <w:p w14:paraId="30C01C98" w14:textId="77777777" w:rsidR="007D15E7" w:rsidRPr="00287C1B" w:rsidRDefault="007D15E7" w:rsidP="007D15E7">
      <w:pPr>
        <w:spacing w:after="120"/>
        <w:jc w:val="both"/>
        <w:rPr>
          <w:rFonts w:ascii="Times New Roman" w:hAnsi="Times New Roman" w:cs="Times New Roman"/>
          <w:sz w:val="24"/>
          <w:szCs w:val="24"/>
          <w:lang w:val="en-GB"/>
        </w:rPr>
      </w:pPr>
      <w:r w:rsidRPr="00896F5D">
        <w:rPr>
          <w:rFonts w:ascii="Times New Roman" w:hAnsi="Times New Roman" w:cs="Times New Roman"/>
          <w:sz w:val="24"/>
          <w:szCs w:val="24"/>
          <w:lang w:val="en-GB"/>
        </w:rPr>
        <w:t xml:space="preserve">As </w:t>
      </w:r>
      <w:r w:rsidRPr="00287C1B">
        <w:rPr>
          <w:rFonts w:ascii="Times New Roman" w:hAnsi="Times New Roman" w:cs="Times New Roman"/>
          <w:sz w:val="24"/>
          <w:szCs w:val="24"/>
          <w:lang w:val="en-GB"/>
        </w:rPr>
        <w:t>regards the deadline for the implementation of the exemption procedure for CMR 1A/1B substances, Article 15(2) 4</w:t>
      </w:r>
      <w:r w:rsidRPr="00287C1B">
        <w:rPr>
          <w:rFonts w:ascii="Times New Roman" w:hAnsi="Times New Roman" w:cs="Times New Roman"/>
          <w:sz w:val="24"/>
          <w:szCs w:val="24"/>
          <w:vertAlign w:val="superscript"/>
          <w:lang w:val="en-GB"/>
        </w:rPr>
        <w:t>th</w:t>
      </w:r>
      <w:r w:rsidRPr="00287C1B">
        <w:rPr>
          <w:rFonts w:ascii="Times New Roman" w:hAnsi="Times New Roman" w:cs="Times New Roman"/>
          <w:sz w:val="24"/>
          <w:szCs w:val="24"/>
          <w:lang w:val="en-GB"/>
        </w:rPr>
        <w:t xml:space="preserve"> subparagraph of the CPR provides that the Commission shall amend the relevant Annexes to this Regulation within 15 months of the “</w:t>
      </w:r>
      <w:r w:rsidRPr="00287C1B">
        <w:rPr>
          <w:rFonts w:ascii="Times New Roman" w:hAnsi="Times New Roman" w:cs="Times New Roman"/>
          <w:i/>
          <w:sz w:val="24"/>
          <w:szCs w:val="24"/>
          <w:lang w:val="en-GB"/>
        </w:rPr>
        <w:t>inclusion of the substances concerned in Part 3 of Annex VI to Regulation (EC) No 1272/2008</w:t>
      </w:r>
      <w:r w:rsidRPr="00287C1B">
        <w:rPr>
          <w:rFonts w:ascii="Times New Roman" w:hAnsi="Times New Roman" w:cs="Times New Roman"/>
          <w:sz w:val="24"/>
          <w:szCs w:val="24"/>
          <w:lang w:val="en-GB"/>
        </w:rPr>
        <w:t>”.</w:t>
      </w:r>
    </w:p>
    <w:p w14:paraId="5515CBEF" w14:textId="167AF042" w:rsidR="007D15E7" w:rsidRPr="00287C1B" w:rsidRDefault="007D15E7" w:rsidP="007D15E7">
      <w:pPr>
        <w:spacing w:after="120"/>
        <w:jc w:val="both"/>
        <w:rPr>
          <w:rFonts w:ascii="Times New Roman" w:hAnsi="Times New Roman" w:cs="Times New Roman"/>
          <w:sz w:val="24"/>
          <w:szCs w:val="24"/>
          <w:lang w:val="en-GB"/>
        </w:rPr>
      </w:pPr>
      <w:r w:rsidRPr="00287C1B">
        <w:rPr>
          <w:rFonts w:ascii="Times New Roman" w:hAnsi="Times New Roman" w:cs="Times New Roman"/>
          <w:sz w:val="24"/>
          <w:szCs w:val="24"/>
          <w:lang w:val="en-GB"/>
        </w:rPr>
        <w:t xml:space="preserve">Thus far, the Commission services have considered that the 15-month timeline for granting an exemption or banning CMRs in cosmetics should be calculated from the </w:t>
      </w:r>
      <w:r w:rsidRPr="00287C1B">
        <w:rPr>
          <w:rFonts w:ascii="Times New Roman" w:hAnsi="Times New Roman" w:cs="Times New Roman"/>
          <w:b/>
          <w:bCs/>
          <w:sz w:val="24"/>
          <w:szCs w:val="24"/>
          <w:lang w:val="en-GB"/>
        </w:rPr>
        <w:t>date of entry into force</w:t>
      </w:r>
      <w:r w:rsidRPr="00287C1B">
        <w:rPr>
          <w:rFonts w:ascii="Times New Roman" w:hAnsi="Times New Roman" w:cs="Times New Roman"/>
          <w:sz w:val="24"/>
          <w:szCs w:val="24"/>
          <w:lang w:val="en-GB"/>
        </w:rPr>
        <w:t xml:space="preserve"> of the CMR classification. Each year, a review is conducted through the Omnibus Act on CMR substances to transpose substances with newly harmonized classifications under the CLP Regulation into the Annexes of the CPR. Specifically, prohibited substances are added to Annex II, while substances that have successfully obtained an exemption from the general ban are listed in Annexes III–VI</w:t>
      </w:r>
      <w:r w:rsidR="00B922B1" w:rsidRPr="00287C1B">
        <w:rPr>
          <w:rFonts w:ascii="Times New Roman" w:hAnsi="Times New Roman" w:cs="Times New Roman"/>
          <w:sz w:val="24"/>
          <w:szCs w:val="24"/>
          <w:lang w:val="en-GB"/>
        </w:rPr>
        <w:t xml:space="preserve"> to the CPR</w:t>
      </w:r>
      <w:r w:rsidRPr="00287C1B">
        <w:rPr>
          <w:rFonts w:ascii="Times New Roman" w:hAnsi="Times New Roman" w:cs="Times New Roman"/>
          <w:sz w:val="24"/>
          <w:szCs w:val="24"/>
          <w:lang w:val="en-GB"/>
        </w:rPr>
        <w:t xml:space="preserve">. </w:t>
      </w:r>
      <w:r w:rsidRPr="00287C1B">
        <w:rPr>
          <w:rFonts w:ascii="Times New Roman" w:hAnsi="Times New Roman" w:cs="Times New Roman"/>
          <w:b/>
          <w:bCs/>
          <w:sz w:val="24"/>
          <w:szCs w:val="24"/>
          <w:lang w:val="en-GB"/>
        </w:rPr>
        <w:t>With the current process, the application date of the harmonised classification coincides with the application of the prohibition or restriction of such substances under the CPR</w:t>
      </w:r>
      <w:r w:rsidRPr="00287C1B">
        <w:rPr>
          <w:rFonts w:ascii="Times New Roman" w:hAnsi="Times New Roman" w:cs="Times New Roman"/>
          <w:sz w:val="24"/>
          <w:szCs w:val="24"/>
          <w:lang w:val="en-GB"/>
        </w:rPr>
        <w:t xml:space="preserve"> (i.e., the Omnibus Act on CMRs and the Delegated act for the harmonised classification and labelling of hazardous substances have the </w:t>
      </w:r>
      <w:r w:rsidRPr="00287C1B">
        <w:rPr>
          <w:rFonts w:ascii="Times New Roman" w:hAnsi="Times New Roman" w:cs="Times New Roman"/>
          <w:sz w:val="24"/>
          <w:szCs w:val="24"/>
          <w:u w:val="single"/>
          <w:lang w:val="en-GB"/>
        </w:rPr>
        <w:t>same</w:t>
      </w:r>
      <w:r w:rsidRPr="00287C1B">
        <w:rPr>
          <w:rFonts w:ascii="Times New Roman" w:hAnsi="Times New Roman" w:cs="Times New Roman"/>
          <w:sz w:val="24"/>
          <w:szCs w:val="24"/>
          <w:lang w:val="en-GB"/>
        </w:rPr>
        <w:t xml:space="preserve"> application date).</w:t>
      </w:r>
    </w:p>
    <w:p w14:paraId="403D6C10" w14:textId="77777777" w:rsidR="007D15E7" w:rsidRPr="00287C1B" w:rsidRDefault="007D15E7" w:rsidP="00716C2B">
      <w:pPr>
        <w:spacing w:after="240"/>
        <w:jc w:val="both"/>
        <w:rPr>
          <w:rFonts w:ascii="Times New Roman" w:hAnsi="Times New Roman" w:cs="Times New Roman"/>
          <w:sz w:val="24"/>
          <w:szCs w:val="24"/>
          <w:lang w:val="en-GB"/>
        </w:rPr>
      </w:pPr>
      <w:r w:rsidRPr="00287C1B">
        <w:rPr>
          <w:rFonts w:ascii="Times New Roman" w:hAnsi="Times New Roman" w:cs="Times New Roman"/>
          <w:sz w:val="24"/>
          <w:szCs w:val="24"/>
          <w:lang w:val="en-GB"/>
        </w:rPr>
        <w:t xml:space="preserve">Nevertheless, recent experience has highlighted certain challenges and limitations in the current system, indicating that the process leading to prohibition or restriction of substances from cosmetic products may not be functioning as effectively as intended. </w:t>
      </w:r>
    </w:p>
    <w:p w14:paraId="222F0FEE" w14:textId="2562E7F1" w:rsidR="005C56A5" w:rsidRPr="00287C1B" w:rsidRDefault="005C56A5" w:rsidP="007D15E7">
      <w:pPr>
        <w:spacing w:after="120"/>
        <w:jc w:val="both"/>
        <w:rPr>
          <w:rFonts w:ascii="Times New Roman" w:hAnsi="Times New Roman" w:cs="Times New Roman"/>
          <w:i/>
          <w:iCs/>
          <w:color w:val="215E99" w:themeColor="text2" w:themeTint="BF"/>
          <w:sz w:val="24"/>
          <w:szCs w:val="24"/>
          <w:lang w:val="en-GB"/>
        </w:rPr>
      </w:pPr>
      <w:r w:rsidRPr="00287C1B">
        <w:rPr>
          <w:rFonts w:ascii="Times New Roman" w:hAnsi="Times New Roman" w:cs="Times New Roman"/>
          <w:i/>
          <w:iCs/>
          <w:color w:val="215E99" w:themeColor="text2" w:themeTint="BF"/>
          <w:sz w:val="24"/>
          <w:szCs w:val="24"/>
          <w:lang w:val="en-GB"/>
        </w:rPr>
        <w:t xml:space="preserve">Growing number of cosmetic ingredients </w:t>
      </w:r>
      <w:r w:rsidR="00787C2E" w:rsidRPr="00287C1B">
        <w:rPr>
          <w:rFonts w:ascii="Times New Roman" w:hAnsi="Times New Roman" w:cs="Times New Roman"/>
          <w:i/>
          <w:iCs/>
          <w:color w:val="215E99" w:themeColor="text2" w:themeTint="BF"/>
          <w:sz w:val="24"/>
          <w:szCs w:val="24"/>
          <w:lang w:val="en-GB"/>
        </w:rPr>
        <w:t xml:space="preserve">that </w:t>
      </w:r>
      <w:r w:rsidRPr="00287C1B">
        <w:rPr>
          <w:rFonts w:ascii="Times New Roman" w:hAnsi="Times New Roman" w:cs="Times New Roman"/>
          <w:i/>
          <w:iCs/>
          <w:color w:val="215E99" w:themeColor="text2" w:themeTint="BF"/>
          <w:sz w:val="24"/>
          <w:szCs w:val="24"/>
          <w:lang w:val="en-GB"/>
        </w:rPr>
        <w:t xml:space="preserve">receive CMR harmonised classification </w:t>
      </w:r>
    </w:p>
    <w:p w14:paraId="46F3AE05" w14:textId="748358E2" w:rsidR="005C56A5" w:rsidRPr="005C56A5" w:rsidRDefault="005C56A5" w:rsidP="005C56A5">
      <w:pPr>
        <w:spacing w:after="120"/>
        <w:jc w:val="both"/>
        <w:rPr>
          <w:rFonts w:ascii="Times New Roman" w:hAnsi="Times New Roman" w:cs="Times New Roman"/>
          <w:sz w:val="24"/>
          <w:szCs w:val="24"/>
          <w:lang w:val="en-GB"/>
        </w:rPr>
      </w:pPr>
      <w:r w:rsidRPr="00287C1B">
        <w:rPr>
          <w:rFonts w:ascii="Times New Roman" w:hAnsi="Times New Roman" w:cs="Times New Roman"/>
          <w:sz w:val="24"/>
          <w:szCs w:val="24"/>
          <w:lang w:val="en-GB"/>
        </w:rPr>
        <w:t>From 2009 to 2018, the CLP Regulation was amended 20 times, averaging two amendments per year. In contrast, over the past seven years (2018–2024), it has been amended 35 times, increasing the average to five amendments per year. This significant</w:t>
      </w:r>
      <w:r w:rsidRPr="005C56A5">
        <w:rPr>
          <w:rFonts w:ascii="Times New Roman" w:hAnsi="Times New Roman" w:cs="Times New Roman"/>
          <w:sz w:val="24"/>
          <w:szCs w:val="24"/>
          <w:lang w:val="en-GB"/>
        </w:rPr>
        <w:t xml:space="preserve"> rise in regulatory updates underscores the need for a more structured and predictable framework, especially since more and more substances are </w:t>
      </w:r>
      <w:r w:rsidR="00787C2E">
        <w:rPr>
          <w:rFonts w:ascii="Times New Roman" w:hAnsi="Times New Roman" w:cs="Times New Roman"/>
          <w:sz w:val="24"/>
          <w:szCs w:val="24"/>
          <w:lang w:val="en-GB"/>
        </w:rPr>
        <w:t xml:space="preserve">classified under the CLP </w:t>
      </w:r>
      <w:r w:rsidR="00787C2E" w:rsidRPr="005C56A5">
        <w:rPr>
          <w:rFonts w:ascii="Times New Roman" w:hAnsi="Times New Roman" w:cs="Times New Roman"/>
          <w:sz w:val="24"/>
          <w:szCs w:val="24"/>
          <w:lang w:val="en-GB"/>
        </w:rPr>
        <w:t>that are currently used in cosmetics</w:t>
      </w:r>
      <w:r w:rsidRPr="005C56A5">
        <w:rPr>
          <w:rFonts w:ascii="Times New Roman" w:hAnsi="Times New Roman" w:cs="Times New Roman"/>
          <w:sz w:val="24"/>
          <w:szCs w:val="24"/>
          <w:lang w:val="en-GB"/>
        </w:rPr>
        <w:t xml:space="preserve">. </w:t>
      </w:r>
    </w:p>
    <w:p w14:paraId="0B91A4AC" w14:textId="23F61063" w:rsidR="005C56A5" w:rsidRPr="00287C1B" w:rsidRDefault="005C56A5" w:rsidP="00716C2B">
      <w:pPr>
        <w:spacing w:after="240"/>
        <w:jc w:val="both"/>
        <w:rPr>
          <w:rFonts w:ascii="Times New Roman" w:hAnsi="Times New Roman" w:cs="Times New Roman"/>
          <w:sz w:val="24"/>
          <w:szCs w:val="24"/>
          <w:lang w:val="en-GB"/>
        </w:rPr>
      </w:pPr>
      <w:r w:rsidRPr="005C56A5">
        <w:rPr>
          <w:rFonts w:ascii="Times New Roman" w:hAnsi="Times New Roman" w:cs="Times New Roman"/>
          <w:sz w:val="24"/>
          <w:szCs w:val="24"/>
          <w:lang w:val="en-GB"/>
        </w:rPr>
        <w:t>In 2025</w:t>
      </w:r>
      <w:r w:rsidR="00787C2E">
        <w:rPr>
          <w:rFonts w:ascii="Times New Roman" w:hAnsi="Times New Roman" w:cs="Times New Roman"/>
          <w:sz w:val="24"/>
          <w:szCs w:val="24"/>
          <w:lang w:val="en-GB"/>
        </w:rPr>
        <w:t xml:space="preserve">, </w:t>
      </w:r>
      <w:r w:rsidRPr="005C56A5">
        <w:rPr>
          <w:rFonts w:ascii="Times New Roman" w:hAnsi="Times New Roman" w:cs="Times New Roman"/>
          <w:sz w:val="24"/>
          <w:szCs w:val="24"/>
          <w:lang w:val="en-GB"/>
        </w:rPr>
        <w:t xml:space="preserve">RAC adopted opinions </w:t>
      </w:r>
      <w:r w:rsidR="00787C2E">
        <w:rPr>
          <w:rFonts w:ascii="Times New Roman" w:hAnsi="Times New Roman" w:cs="Times New Roman"/>
          <w:sz w:val="24"/>
          <w:szCs w:val="24"/>
          <w:lang w:val="en-GB"/>
        </w:rPr>
        <w:t xml:space="preserve">for </w:t>
      </w:r>
      <w:r w:rsidRPr="005C56A5">
        <w:rPr>
          <w:rFonts w:ascii="Times New Roman" w:hAnsi="Times New Roman" w:cs="Times New Roman"/>
          <w:sz w:val="24"/>
          <w:szCs w:val="24"/>
          <w:lang w:val="en-GB"/>
        </w:rPr>
        <w:t>110 substances, including several for which CMR 1B classification was proposed. Many of these substances are widely used in cosmetic products, such as Piperonal, a key ingredient in signature perfumes; Tea Tree Oil</w:t>
      </w:r>
      <w:r w:rsidR="00E87725">
        <w:rPr>
          <w:rFonts w:ascii="Times New Roman" w:hAnsi="Times New Roman" w:cs="Times New Roman"/>
          <w:sz w:val="24"/>
          <w:szCs w:val="24"/>
          <w:lang w:val="en-GB"/>
        </w:rPr>
        <w:t xml:space="preserve"> and</w:t>
      </w:r>
      <w:r w:rsidRPr="005C56A5">
        <w:rPr>
          <w:rFonts w:ascii="Times New Roman" w:hAnsi="Times New Roman" w:cs="Times New Roman"/>
          <w:sz w:val="24"/>
          <w:szCs w:val="24"/>
          <w:lang w:val="en-GB"/>
        </w:rPr>
        <w:t xml:space="preserve"> p-cymene, a component found in 360 essential oils. This trend is expected to continue as an increasing number of non-industrial chemicals are being proposed for harmonised classification as CMR </w:t>
      </w:r>
      <w:r w:rsidRPr="005C56A5">
        <w:rPr>
          <w:rFonts w:ascii="Times New Roman" w:hAnsi="Times New Roman" w:cs="Times New Roman"/>
          <w:sz w:val="24"/>
          <w:szCs w:val="24"/>
          <w:lang w:val="en-GB"/>
        </w:rPr>
        <w:lastRenderedPageBreak/>
        <w:t xml:space="preserve">substances. </w:t>
      </w:r>
      <w:bookmarkStart w:id="0" w:name="_Hlk197447503"/>
      <w:r w:rsidRPr="005C56A5">
        <w:rPr>
          <w:rFonts w:ascii="Times New Roman" w:hAnsi="Times New Roman" w:cs="Times New Roman"/>
          <w:sz w:val="24"/>
          <w:szCs w:val="24"/>
          <w:lang w:val="en-GB"/>
        </w:rPr>
        <w:t xml:space="preserve">Moreover, the grouping approach </w:t>
      </w:r>
      <w:r w:rsidR="00A60EB1">
        <w:rPr>
          <w:rFonts w:ascii="Times New Roman" w:hAnsi="Times New Roman" w:cs="Times New Roman"/>
          <w:sz w:val="24"/>
          <w:szCs w:val="24"/>
          <w:lang w:val="en-GB"/>
        </w:rPr>
        <w:t xml:space="preserve">recently </w:t>
      </w:r>
      <w:r w:rsidRPr="005C56A5">
        <w:rPr>
          <w:rFonts w:ascii="Times New Roman" w:hAnsi="Times New Roman" w:cs="Times New Roman"/>
          <w:sz w:val="24"/>
          <w:szCs w:val="24"/>
          <w:lang w:val="en-GB"/>
        </w:rPr>
        <w:t xml:space="preserve">introduced will </w:t>
      </w:r>
      <w:r w:rsidR="00787C2E">
        <w:rPr>
          <w:rFonts w:ascii="Times New Roman" w:hAnsi="Times New Roman" w:cs="Times New Roman"/>
          <w:sz w:val="24"/>
          <w:szCs w:val="24"/>
          <w:lang w:val="en-GB"/>
        </w:rPr>
        <w:t xml:space="preserve">further accelerate the </w:t>
      </w:r>
      <w:r w:rsidR="00A60EB1" w:rsidRPr="00A60EB1">
        <w:rPr>
          <w:rFonts w:ascii="Times New Roman" w:hAnsi="Times New Roman" w:cs="Times New Roman"/>
          <w:sz w:val="24"/>
          <w:szCs w:val="24"/>
          <w:lang w:val="en-GB"/>
        </w:rPr>
        <w:t xml:space="preserve">pace at </w:t>
      </w:r>
      <w:r w:rsidR="00A60EB1" w:rsidRPr="00287C1B">
        <w:rPr>
          <w:rFonts w:ascii="Times New Roman" w:hAnsi="Times New Roman" w:cs="Times New Roman"/>
          <w:sz w:val="24"/>
          <w:szCs w:val="24"/>
          <w:lang w:val="en-GB"/>
        </w:rPr>
        <w:t xml:space="preserve">which substances are subject to harmonised classification including </w:t>
      </w:r>
      <w:r w:rsidRPr="00287C1B">
        <w:rPr>
          <w:rFonts w:ascii="Times New Roman" w:hAnsi="Times New Roman" w:cs="Times New Roman"/>
          <w:sz w:val="24"/>
          <w:szCs w:val="24"/>
          <w:lang w:val="en-GB"/>
        </w:rPr>
        <w:t xml:space="preserve">as CMR, intensifying the regulatory impact </w:t>
      </w:r>
      <w:r w:rsidR="00DD18C4" w:rsidRPr="00287C1B">
        <w:rPr>
          <w:rFonts w:ascii="Times New Roman" w:hAnsi="Times New Roman" w:cs="Times New Roman"/>
          <w:sz w:val="24"/>
          <w:szCs w:val="24"/>
          <w:lang w:val="en-GB"/>
        </w:rPr>
        <w:t xml:space="preserve">with potential negative effects </w:t>
      </w:r>
      <w:r w:rsidRPr="00287C1B">
        <w:rPr>
          <w:rFonts w:ascii="Times New Roman" w:hAnsi="Times New Roman" w:cs="Times New Roman"/>
          <w:sz w:val="24"/>
          <w:szCs w:val="24"/>
          <w:lang w:val="en-GB"/>
        </w:rPr>
        <w:t>on the cosmetics sector.</w:t>
      </w:r>
      <w:bookmarkEnd w:id="0"/>
    </w:p>
    <w:p w14:paraId="4E463721" w14:textId="46C2A699" w:rsidR="005C56A5" w:rsidRPr="00287C1B" w:rsidRDefault="00DD18C4" w:rsidP="005C56A5">
      <w:pPr>
        <w:spacing w:after="120"/>
        <w:jc w:val="both"/>
        <w:rPr>
          <w:rFonts w:ascii="Times New Roman" w:hAnsi="Times New Roman" w:cs="Times New Roman"/>
          <w:i/>
          <w:iCs/>
          <w:color w:val="215E99" w:themeColor="text2" w:themeTint="BF"/>
          <w:sz w:val="24"/>
          <w:szCs w:val="24"/>
          <w:lang w:val="en-GB"/>
        </w:rPr>
      </w:pPr>
      <w:r w:rsidRPr="00287C1B">
        <w:rPr>
          <w:rFonts w:ascii="Times New Roman" w:hAnsi="Times New Roman" w:cs="Times New Roman"/>
          <w:i/>
          <w:iCs/>
          <w:color w:val="215E99" w:themeColor="text2" w:themeTint="BF"/>
          <w:sz w:val="24"/>
          <w:szCs w:val="24"/>
          <w:lang w:val="en-GB"/>
        </w:rPr>
        <w:t xml:space="preserve">Impacts due to the </w:t>
      </w:r>
      <w:r w:rsidR="005C56A5" w:rsidRPr="00287C1B">
        <w:rPr>
          <w:rFonts w:ascii="Times New Roman" w:hAnsi="Times New Roman" w:cs="Times New Roman"/>
          <w:i/>
          <w:iCs/>
          <w:color w:val="215E99" w:themeColor="text2" w:themeTint="BF"/>
          <w:sz w:val="24"/>
          <w:szCs w:val="24"/>
          <w:lang w:val="en-GB"/>
        </w:rPr>
        <w:t xml:space="preserve">lack of legal certainty and </w:t>
      </w:r>
      <w:r w:rsidRPr="00287C1B">
        <w:rPr>
          <w:rFonts w:ascii="Times New Roman" w:hAnsi="Times New Roman" w:cs="Times New Roman"/>
          <w:i/>
          <w:iCs/>
          <w:color w:val="215E99" w:themeColor="text2" w:themeTint="BF"/>
          <w:sz w:val="24"/>
          <w:szCs w:val="24"/>
          <w:lang w:val="en-GB"/>
        </w:rPr>
        <w:t>transitional periods</w:t>
      </w:r>
    </w:p>
    <w:p w14:paraId="77F8D485" w14:textId="351C9729" w:rsidR="005C56A5" w:rsidRPr="00287C1B" w:rsidRDefault="008C7947" w:rsidP="005C56A5">
      <w:pPr>
        <w:spacing w:after="120"/>
        <w:jc w:val="both"/>
        <w:rPr>
          <w:rFonts w:ascii="Times New Roman" w:hAnsi="Times New Roman" w:cs="Times New Roman"/>
          <w:sz w:val="24"/>
          <w:szCs w:val="24"/>
          <w:lang w:val="en-GB"/>
        </w:rPr>
      </w:pPr>
      <w:r w:rsidRPr="00287C1B">
        <w:rPr>
          <w:rFonts w:ascii="Times New Roman" w:hAnsi="Times New Roman" w:cs="Times New Roman"/>
          <w:sz w:val="24"/>
          <w:szCs w:val="24"/>
          <w:lang w:val="en-GB"/>
        </w:rPr>
        <w:t>Businesses argue that t</w:t>
      </w:r>
      <w:r w:rsidR="005C56A5" w:rsidRPr="00287C1B">
        <w:rPr>
          <w:rFonts w:ascii="Times New Roman" w:hAnsi="Times New Roman" w:cs="Times New Roman"/>
          <w:sz w:val="24"/>
          <w:szCs w:val="24"/>
          <w:lang w:val="en-GB"/>
        </w:rPr>
        <w:t xml:space="preserve">he </w:t>
      </w:r>
      <w:r w:rsidR="00DD18C4" w:rsidRPr="00287C1B">
        <w:rPr>
          <w:rFonts w:ascii="Times New Roman" w:hAnsi="Times New Roman" w:cs="Times New Roman"/>
          <w:sz w:val="24"/>
          <w:szCs w:val="24"/>
          <w:lang w:val="en-GB"/>
        </w:rPr>
        <w:t xml:space="preserve">absence </w:t>
      </w:r>
      <w:r w:rsidR="005C56A5" w:rsidRPr="00287C1B">
        <w:rPr>
          <w:rFonts w:ascii="Times New Roman" w:hAnsi="Times New Roman" w:cs="Times New Roman"/>
          <w:sz w:val="24"/>
          <w:szCs w:val="24"/>
          <w:lang w:val="en-GB"/>
        </w:rPr>
        <w:t>of clear rules</w:t>
      </w:r>
      <w:r w:rsidR="00DD18C4" w:rsidRPr="00287C1B">
        <w:rPr>
          <w:rFonts w:ascii="Times New Roman" w:hAnsi="Times New Roman" w:cs="Times New Roman"/>
          <w:sz w:val="24"/>
          <w:szCs w:val="24"/>
          <w:lang w:val="en-GB"/>
        </w:rPr>
        <w:t xml:space="preserve"> and well-defined</w:t>
      </w:r>
      <w:r w:rsidR="005C56A5" w:rsidRPr="00287C1B">
        <w:rPr>
          <w:rFonts w:ascii="Times New Roman" w:hAnsi="Times New Roman" w:cs="Times New Roman"/>
          <w:sz w:val="24"/>
          <w:szCs w:val="24"/>
          <w:lang w:val="en-GB"/>
        </w:rPr>
        <w:t xml:space="preserve"> timelines, </w:t>
      </w:r>
      <w:r w:rsidR="00DD18C4" w:rsidRPr="00287C1B">
        <w:rPr>
          <w:rFonts w:ascii="Times New Roman" w:hAnsi="Times New Roman" w:cs="Times New Roman"/>
          <w:sz w:val="24"/>
          <w:szCs w:val="24"/>
          <w:lang w:val="en-GB"/>
        </w:rPr>
        <w:t xml:space="preserve">along with the lack of justified transitional </w:t>
      </w:r>
      <w:r w:rsidR="005C56A5" w:rsidRPr="00287C1B">
        <w:rPr>
          <w:rFonts w:ascii="Times New Roman" w:hAnsi="Times New Roman" w:cs="Times New Roman"/>
          <w:sz w:val="24"/>
          <w:szCs w:val="24"/>
          <w:lang w:val="en-GB"/>
        </w:rPr>
        <w:t>periods</w:t>
      </w:r>
      <w:r w:rsidR="00DD18C4" w:rsidRPr="00287C1B">
        <w:rPr>
          <w:rFonts w:ascii="Times New Roman" w:hAnsi="Times New Roman" w:cs="Times New Roman"/>
          <w:sz w:val="24"/>
          <w:szCs w:val="24"/>
          <w:lang w:val="en-GB"/>
        </w:rPr>
        <w:t>, undermine</w:t>
      </w:r>
      <w:r w:rsidR="005570AA" w:rsidRPr="00287C1B">
        <w:rPr>
          <w:rFonts w:ascii="Times New Roman" w:hAnsi="Times New Roman" w:cs="Times New Roman"/>
          <w:sz w:val="24"/>
          <w:szCs w:val="24"/>
          <w:lang w:val="en-GB"/>
        </w:rPr>
        <w:t xml:space="preserve"> </w:t>
      </w:r>
      <w:r w:rsidR="005C56A5" w:rsidRPr="00287C1B">
        <w:rPr>
          <w:rFonts w:ascii="Times New Roman" w:hAnsi="Times New Roman" w:cs="Times New Roman"/>
          <w:sz w:val="24"/>
          <w:szCs w:val="24"/>
          <w:lang w:val="en-GB"/>
        </w:rPr>
        <w:t xml:space="preserve">investment decisions </w:t>
      </w:r>
      <w:r w:rsidR="00DD18C4" w:rsidRPr="00287C1B">
        <w:rPr>
          <w:rFonts w:ascii="Times New Roman" w:hAnsi="Times New Roman" w:cs="Times New Roman"/>
          <w:sz w:val="24"/>
          <w:szCs w:val="24"/>
          <w:lang w:val="en-GB"/>
        </w:rPr>
        <w:t xml:space="preserve">often forcing companies to rely on </w:t>
      </w:r>
      <w:r w:rsidR="00AE7E6F" w:rsidRPr="00287C1B">
        <w:rPr>
          <w:rFonts w:ascii="Times New Roman" w:hAnsi="Times New Roman" w:cs="Times New Roman"/>
          <w:sz w:val="24"/>
          <w:szCs w:val="24"/>
          <w:lang w:val="en-GB"/>
        </w:rPr>
        <w:t xml:space="preserve">assumptions </w:t>
      </w:r>
      <w:r w:rsidR="00DD18C4" w:rsidRPr="00287C1B">
        <w:rPr>
          <w:rFonts w:ascii="Times New Roman" w:hAnsi="Times New Roman" w:cs="Times New Roman"/>
          <w:sz w:val="24"/>
          <w:szCs w:val="24"/>
          <w:lang w:val="en-GB"/>
        </w:rPr>
        <w:t xml:space="preserve">about </w:t>
      </w:r>
      <w:r w:rsidR="00AE7E6F" w:rsidRPr="00287C1B">
        <w:rPr>
          <w:rFonts w:ascii="Times New Roman" w:hAnsi="Times New Roman" w:cs="Times New Roman"/>
          <w:sz w:val="24"/>
          <w:szCs w:val="24"/>
          <w:lang w:val="en-GB"/>
        </w:rPr>
        <w:t xml:space="preserve">whether a substance will be classified and </w:t>
      </w:r>
      <w:r w:rsidR="00DD18C4" w:rsidRPr="00287C1B">
        <w:rPr>
          <w:rFonts w:ascii="Times New Roman" w:hAnsi="Times New Roman" w:cs="Times New Roman"/>
          <w:sz w:val="24"/>
          <w:szCs w:val="24"/>
          <w:lang w:val="en-GB"/>
        </w:rPr>
        <w:t xml:space="preserve">subsequently </w:t>
      </w:r>
      <w:r w:rsidR="00AE7E6F" w:rsidRPr="00287C1B">
        <w:rPr>
          <w:rFonts w:ascii="Times New Roman" w:hAnsi="Times New Roman" w:cs="Times New Roman"/>
          <w:sz w:val="24"/>
          <w:szCs w:val="24"/>
          <w:lang w:val="en-GB"/>
        </w:rPr>
        <w:t xml:space="preserve">banned </w:t>
      </w:r>
      <w:r w:rsidR="00DD18C4" w:rsidRPr="00287C1B">
        <w:rPr>
          <w:rFonts w:ascii="Times New Roman" w:hAnsi="Times New Roman" w:cs="Times New Roman"/>
          <w:sz w:val="24"/>
          <w:szCs w:val="24"/>
          <w:lang w:val="en-GB"/>
        </w:rPr>
        <w:t xml:space="preserve">in </w:t>
      </w:r>
      <w:r w:rsidR="00AE7E6F" w:rsidRPr="00287C1B">
        <w:rPr>
          <w:rFonts w:ascii="Times New Roman" w:hAnsi="Times New Roman" w:cs="Times New Roman"/>
          <w:sz w:val="24"/>
          <w:szCs w:val="24"/>
          <w:lang w:val="en-GB"/>
        </w:rPr>
        <w:t>cosmetics</w:t>
      </w:r>
      <w:r w:rsidR="00DD18C4" w:rsidRPr="00287C1B">
        <w:rPr>
          <w:rFonts w:ascii="Times New Roman" w:hAnsi="Times New Roman" w:cs="Times New Roman"/>
          <w:sz w:val="24"/>
          <w:szCs w:val="24"/>
          <w:lang w:val="en-GB"/>
        </w:rPr>
        <w:t xml:space="preserve">. </w:t>
      </w:r>
      <w:r w:rsidRPr="00287C1B">
        <w:rPr>
          <w:rFonts w:ascii="Times New Roman" w:hAnsi="Times New Roman" w:cs="Times New Roman"/>
          <w:sz w:val="24"/>
          <w:szCs w:val="24"/>
          <w:lang w:val="en-GB"/>
        </w:rPr>
        <w:t>Businesses also indicate that th</w:t>
      </w:r>
      <w:r w:rsidR="00DD18C4" w:rsidRPr="00287C1B">
        <w:rPr>
          <w:rFonts w:ascii="Times New Roman" w:hAnsi="Times New Roman" w:cs="Times New Roman"/>
          <w:sz w:val="24"/>
          <w:szCs w:val="24"/>
          <w:lang w:val="en-GB"/>
        </w:rPr>
        <w:t xml:space="preserve">is uncertainty </w:t>
      </w:r>
      <w:r w:rsidR="005C56A5" w:rsidRPr="00287C1B">
        <w:rPr>
          <w:rFonts w:ascii="Times New Roman" w:hAnsi="Times New Roman" w:cs="Times New Roman"/>
          <w:sz w:val="24"/>
          <w:szCs w:val="24"/>
          <w:lang w:val="en-GB"/>
        </w:rPr>
        <w:t>hamper</w:t>
      </w:r>
      <w:r w:rsidR="00DD18C4" w:rsidRPr="00287C1B">
        <w:rPr>
          <w:rFonts w:ascii="Times New Roman" w:hAnsi="Times New Roman" w:cs="Times New Roman"/>
          <w:sz w:val="24"/>
          <w:szCs w:val="24"/>
          <w:lang w:val="en-GB"/>
        </w:rPr>
        <w:t>s</w:t>
      </w:r>
      <w:r w:rsidR="005C56A5" w:rsidRPr="00287C1B">
        <w:rPr>
          <w:rFonts w:ascii="Times New Roman" w:hAnsi="Times New Roman" w:cs="Times New Roman"/>
          <w:sz w:val="24"/>
          <w:szCs w:val="24"/>
          <w:lang w:val="en-GB"/>
        </w:rPr>
        <w:t xml:space="preserve"> the </w:t>
      </w:r>
      <w:r w:rsidR="00DD18C4" w:rsidRPr="00287C1B">
        <w:rPr>
          <w:rFonts w:ascii="Times New Roman" w:hAnsi="Times New Roman" w:cs="Times New Roman"/>
          <w:sz w:val="24"/>
          <w:szCs w:val="24"/>
          <w:lang w:val="en-GB"/>
        </w:rPr>
        <w:t>ability</w:t>
      </w:r>
      <w:r w:rsidR="008C7899" w:rsidRPr="00287C1B">
        <w:rPr>
          <w:rFonts w:ascii="Times New Roman" w:hAnsi="Times New Roman" w:cs="Times New Roman"/>
          <w:sz w:val="24"/>
          <w:szCs w:val="24"/>
          <w:lang w:val="en-GB"/>
        </w:rPr>
        <w:t xml:space="preserve"> of companies</w:t>
      </w:r>
      <w:r w:rsidR="00DD18C4" w:rsidRPr="00287C1B">
        <w:rPr>
          <w:rFonts w:ascii="Times New Roman" w:hAnsi="Times New Roman" w:cs="Times New Roman"/>
          <w:sz w:val="24"/>
          <w:szCs w:val="24"/>
          <w:lang w:val="en-GB"/>
        </w:rPr>
        <w:t xml:space="preserve"> </w:t>
      </w:r>
      <w:r w:rsidR="005C56A5" w:rsidRPr="00287C1B">
        <w:rPr>
          <w:rFonts w:ascii="Times New Roman" w:hAnsi="Times New Roman" w:cs="Times New Roman"/>
          <w:sz w:val="24"/>
          <w:szCs w:val="24"/>
          <w:lang w:val="en-GB"/>
        </w:rPr>
        <w:t xml:space="preserve">to scale up, </w:t>
      </w:r>
      <w:r w:rsidR="00DD18C4" w:rsidRPr="00287C1B">
        <w:rPr>
          <w:rFonts w:ascii="Times New Roman" w:hAnsi="Times New Roman" w:cs="Times New Roman"/>
          <w:sz w:val="24"/>
          <w:szCs w:val="24"/>
          <w:lang w:val="en-GB"/>
        </w:rPr>
        <w:t>which is particularly critical for SMEs</w:t>
      </w:r>
      <w:r w:rsidR="00A12604" w:rsidRPr="00287C1B">
        <w:rPr>
          <w:rFonts w:ascii="Times New Roman" w:hAnsi="Times New Roman" w:cs="Times New Roman"/>
          <w:sz w:val="24"/>
          <w:szCs w:val="24"/>
          <w:lang w:val="en-GB"/>
        </w:rPr>
        <w:t>.</w:t>
      </w:r>
    </w:p>
    <w:p w14:paraId="5BB4EE02" w14:textId="6E5FF618" w:rsidR="00A12604" w:rsidRPr="00287C1B" w:rsidRDefault="00352B7F" w:rsidP="005C56A5">
      <w:pPr>
        <w:spacing w:after="120"/>
        <w:jc w:val="both"/>
        <w:rPr>
          <w:rFonts w:ascii="Times New Roman" w:hAnsi="Times New Roman" w:cs="Times New Roman"/>
          <w:sz w:val="24"/>
          <w:szCs w:val="24"/>
          <w:lang w:val="en-GB"/>
        </w:rPr>
      </w:pPr>
      <w:r w:rsidRPr="00287C1B">
        <w:rPr>
          <w:rFonts w:ascii="Times New Roman" w:hAnsi="Times New Roman" w:cs="Times New Roman"/>
          <w:b/>
          <w:bCs/>
          <w:sz w:val="24"/>
          <w:szCs w:val="24"/>
          <w:lang w:val="en-GB"/>
        </w:rPr>
        <w:t>Based on earlier discussions with interested parties, s</w:t>
      </w:r>
      <w:r w:rsidR="00A12604" w:rsidRPr="00287C1B">
        <w:rPr>
          <w:rFonts w:ascii="Times New Roman" w:hAnsi="Times New Roman" w:cs="Times New Roman"/>
          <w:b/>
          <w:bCs/>
          <w:sz w:val="24"/>
          <w:szCs w:val="24"/>
          <w:lang w:val="en-GB"/>
        </w:rPr>
        <w:t xml:space="preserve">everal changes could be made in Article 15 of the </w:t>
      </w:r>
      <w:r w:rsidR="00C76DE3" w:rsidRPr="00287C1B">
        <w:rPr>
          <w:rFonts w:ascii="Times New Roman" w:hAnsi="Times New Roman" w:cs="Times New Roman"/>
          <w:b/>
          <w:bCs/>
          <w:sz w:val="24"/>
          <w:szCs w:val="24"/>
          <w:lang w:val="en-GB"/>
        </w:rPr>
        <w:t xml:space="preserve">CPR </w:t>
      </w:r>
      <w:r w:rsidR="00A12604" w:rsidRPr="00287C1B">
        <w:rPr>
          <w:rFonts w:ascii="Times New Roman" w:hAnsi="Times New Roman" w:cs="Times New Roman"/>
          <w:b/>
          <w:bCs/>
          <w:sz w:val="24"/>
          <w:szCs w:val="24"/>
          <w:lang w:val="en-GB"/>
        </w:rPr>
        <w:t>to simplify</w:t>
      </w:r>
      <w:r w:rsidRPr="00287C1B">
        <w:rPr>
          <w:rFonts w:ascii="Times New Roman" w:hAnsi="Times New Roman" w:cs="Times New Roman"/>
          <w:b/>
          <w:bCs/>
          <w:sz w:val="24"/>
          <w:szCs w:val="24"/>
          <w:lang w:val="en-GB"/>
        </w:rPr>
        <w:t xml:space="preserve"> it</w:t>
      </w:r>
      <w:r w:rsidR="00A12604" w:rsidRPr="00287C1B">
        <w:rPr>
          <w:rFonts w:ascii="Times New Roman" w:hAnsi="Times New Roman" w:cs="Times New Roman"/>
          <w:b/>
          <w:bCs/>
          <w:sz w:val="24"/>
          <w:szCs w:val="24"/>
          <w:lang w:val="en-GB"/>
        </w:rPr>
        <w:t xml:space="preserve"> and reduce the burden on business</w:t>
      </w:r>
      <w:r w:rsidR="00E64980" w:rsidRPr="00287C1B">
        <w:rPr>
          <w:rFonts w:ascii="Times New Roman" w:hAnsi="Times New Roman" w:cs="Times New Roman"/>
          <w:b/>
          <w:bCs/>
          <w:sz w:val="24"/>
          <w:szCs w:val="24"/>
          <w:lang w:val="en-GB"/>
        </w:rPr>
        <w:t>es</w:t>
      </w:r>
      <w:r w:rsidR="00A12604" w:rsidRPr="00287C1B">
        <w:rPr>
          <w:rFonts w:ascii="Times New Roman" w:hAnsi="Times New Roman" w:cs="Times New Roman"/>
          <w:b/>
          <w:bCs/>
          <w:sz w:val="24"/>
          <w:szCs w:val="24"/>
          <w:lang w:val="en-GB"/>
        </w:rPr>
        <w:t xml:space="preserve"> without </w:t>
      </w:r>
      <w:r w:rsidR="00E64980" w:rsidRPr="00287C1B">
        <w:rPr>
          <w:rFonts w:ascii="Times New Roman" w:hAnsi="Times New Roman" w:cs="Times New Roman"/>
          <w:b/>
          <w:bCs/>
          <w:sz w:val="24"/>
          <w:szCs w:val="24"/>
          <w:lang w:val="en-GB"/>
        </w:rPr>
        <w:t xml:space="preserve">affecting </w:t>
      </w:r>
      <w:r w:rsidR="00A12604" w:rsidRPr="00287C1B">
        <w:rPr>
          <w:rFonts w:ascii="Times New Roman" w:hAnsi="Times New Roman" w:cs="Times New Roman"/>
          <w:b/>
          <w:bCs/>
          <w:sz w:val="24"/>
          <w:szCs w:val="24"/>
          <w:lang w:val="en-GB"/>
        </w:rPr>
        <w:t xml:space="preserve">the </w:t>
      </w:r>
      <w:r w:rsidRPr="00287C1B">
        <w:rPr>
          <w:rFonts w:ascii="Times New Roman" w:hAnsi="Times New Roman" w:cs="Times New Roman"/>
          <w:b/>
          <w:bCs/>
          <w:sz w:val="24"/>
          <w:szCs w:val="24"/>
          <w:lang w:val="en-GB"/>
        </w:rPr>
        <w:t>high level of protection of human health</w:t>
      </w:r>
      <w:r w:rsidR="00A12604" w:rsidRPr="00287C1B">
        <w:rPr>
          <w:rFonts w:ascii="Times New Roman" w:hAnsi="Times New Roman" w:cs="Times New Roman"/>
          <w:b/>
          <w:bCs/>
          <w:sz w:val="24"/>
          <w:szCs w:val="24"/>
          <w:lang w:val="en-GB"/>
        </w:rPr>
        <w:t>,</w:t>
      </w:r>
      <w:r w:rsidR="00A12604" w:rsidRPr="00287C1B">
        <w:rPr>
          <w:rFonts w:ascii="Times New Roman" w:hAnsi="Times New Roman" w:cs="Times New Roman"/>
          <w:sz w:val="24"/>
          <w:szCs w:val="24"/>
          <w:lang w:val="en-GB"/>
        </w:rPr>
        <w:t xml:space="preserve"> meaning that the harmonised classification of a substance as CMR category 1 or 2 w</w:t>
      </w:r>
      <w:r w:rsidRPr="00287C1B">
        <w:rPr>
          <w:rFonts w:ascii="Times New Roman" w:hAnsi="Times New Roman" w:cs="Times New Roman"/>
          <w:sz w:val="24"/>
          <w:szCs w:val="24"/>
          <w:lang w:val="en-GB"/>
        </w:rPr>
        <w:t xml:space="preserve">ould </w:t>
      </w:r>
      <w:r w:rsidR="00A12604" w:rsidRPr="00287C1B">
        <w:rPr>
          <w:rFonts w:ascii="Times New Roman" w:hAnsi="Times New Roman" w:cs="Times New Roman"/>
          <w:sz w:val="24"/>
          <w:szCs w:val="24"/>
          <w:lang w:val="en-GB"/>
        </w:rPr>
        <w:t>continue to trigger its prohibition in cosmetic products, unless a derogation request is submitted, and the derogation criteria are met.</w:t>
      </w:r>
    </w:p>
    <w:p w14:paraId="749FB73B" w14:textId="77777777" w:rsidR="00B72A76" w:rsidRPr="00287C1B" w:rsidRDefault="00B72A76" w:rsidP="00B72A76">
      <w:pPr>
        <w:numPr>
          <w:ilvl w:val="0"/>
          <w:numId w:val="1"/>
        </w:numPr>
        <w:spacing w:after="240" w:line="240" w:lineRule="auto"/>
        <w:jc w:val="both"/>
        <w:rPr>
          <w:rFonts w:ascii="Times New Roman" w:eastAsia="Times New Roman" w:hAnsi="Times New Roman" w:cs="Times New Roman"/>
          <w:b/>
          <w:bCs/>
          <w:i/>
          <w:iCs/>
          <w:kern w:val="0"/>
          <w:sz w:val="24"/>
          <w:szCs w:val="20"/>
          <w:lang w:val="en-GB" w:eastAsia="fr-BE"/>
          <w14:ligatures w14:val="none"/>
        </w:rPr>
      </w:pPr>
      <w:r w:rsidRPr="00287C1B">
        <w:rPr>
          <w:rFonts w:ascii="Times New Roman" w:eastAsia="Times New Roman" w:hAnsi="Times New Roman" w:cs="Times New Roman"/>
          <w:b/>
          <w:bCs/>
          <w:i/>
          <w:iCs/>
          <w:kern w:val="0"/>
          <w:sz w:val="24"/>
          <w:szCs w:val="20"/>
          <w:lang w:val="en-GB" w:eastAsia="fr-BE"/>
          <w14:ligatures w14:val="none"/>
        </w:rPr>
        <w:t>Establishing a fixed period for submission of derogation requests</w:t>
      </w:r>
    </w:p>
    <w:p w14:paraId="0FF6CB53" w14:textId="02B7B08D" w:rsidR="005570AA" w:rsidRPr="00B72A76" w:rsidRDefault="005570AA" w:rsidP="005570AA">
      <w:pPr>
        <w:spacing w:after="240" w:line="240" w:lineRule="auto"/>
        <w:jc w:val="both"/>
        <w:rPr>
          <w:rFonts w:ascii="Times New Roman" w:eastAsia="Times New Roman" w:hAnsi="Times New Roman" w:cs="Times New Roman"/>
          <w:kern w:val="0"/>
          <w:sz w:val="24"/>
          <w:szCs w:val="20"/>
          <w:lang w:val="en-GB" w:eastAsia="fr-BE"/>
          <w14:ligatures w14:val="none"/>
        </w:rPr>
      </w:pPr>
      <w:r w:rsidRPr="00287C1B">
        <w:rPr>
          <w:rFonts w:ascii="Times New Roman" w:eastAsia="Times New Roman" w:hAnsi="Times New Roman" w:cs="Times New Roman"/>
          <w:kern w:val="0"/>
          <w:sz w:val="24"/>
          <w:szCs w:val="20"/>
          <w:lang w:val="en-GB" w:eastAsia="fr-BE"/>
          <w14:ligatures w14:val="none"/>
        </w:rPr>
        <w:t xml:space="preserve">The current CPR does not foresee </w:t>
      </w:r>
      <w:r w:rsidR="00E64980" w:rsidRPr="00287C1B">
        <w:rPr>
          <w:rFonts w:ascii="Times New Roman" w:eastAsia="Times New Roman" w:hAnsi="Times New Roman" w:cs="Times New Roman"/>
          <w:kern w:val="0"/>
          <w:sz w:val="24"/>
          <w:szCs w:val="20"/>
          <w:lang w:val="en-GB" w:eastAsia="fr-BE"/>
          <w14:ligatures w14:val="none"/>
        </w:rPr>
        <w:t xml:space="preserve">a </w:t>
      </w:r>
      <w:r w:rsidRPr="00287C1B">
        <w:rPr>
          <w:rFonts w:ascii="Times New Roman" w:eastAsia="Times New Roman" w:hAnsi="Times New Roman" w:cs="Times New Roman"/>
          <w:kern w:val="0"/>
          <w:sz w:val="24"/>
          <w:szCs w:val="20"/>
          <w:lang w:val="en-GB" w:eastAsia="fr-BE"/>
          <w14:ligatures w14:val="none"/>
        </w:rPr>
        <w:t xml:space="preserve">timeline for businesses to submit </w:t>
      </w:r>
      <w:r w:rsidR="00E64980" w:rsidRPr="00287C1B">
        <w:rPr>
          <w:rFonts w:ascii="Times New Roman" w:eastAsia="Times New Roman" w:hAnsi="Times New Roman" w:cs="Times New Roman"/>
          <w:kern w:val="0"/>
          <w:sz w:val="24"/>
          <w:szCs w:val="20"/>
          <w:lang w:val="en-GB" w:eastAsia="fr-BE"/>
          <w14:ligatures w14:val="none"/>
        </w:rPr>
        <w:t xml:space="preserve">a </w:t>
      </w:r>
      <w:r w:rsidRPr="00287C1B">
        <w:rPr>
          <w:rFonts w:ascii="Times New Roman" w:eastAsia="Times New Roman" w:hAnsi="Times New Roman" w:cs="Times New Roman"/>
          <w:kern w:val="0"/>
          <w:sz w:val="24"/>
          <w:szCs w:val="20"/>
          <w:lang w:val="en-GB" w:eastAsia="fr-BE"/>
          <w14:ligatures w14:val="none"/>
        </w:rPr>
        <w:t>request for derogation. According to the CMR Guidelines</w:t>
      </w:r>
      <w:r w:rsidR="00E87725" w:rsidRPr="00287C1B">
        <w:rPr>
          <w:rStyle w:val="FootnoteReference"/>
          <w:rFonts w:ascii="Times New Roman" w:eastAsia="Times New Roman" w:hAnsi="Times New Roman" w:cs="Times New Roman"/>
          <w:kern w:val="0"/>
          <w:sz w:val="24"/>
          <w:szCs w:val="20"/>
          <w:lang w:val="en-GB" w:eastAsia="fr-BE"/>
          <w14:ligatures w14:val="none"/>
        </w:rPr>
        <w:footnoteReference w:id="2"/>
      </w:r>
      <w:r w:rsidRPr="00287C1B">
        <w:rPr>
          <w:rFonts w:ascii="Times New Roman" w:eastAsia="Times New Roman" w:hAnsi="Times New Roman" w:cs="Times New Roman"/>
          <w:kern w:val="0"/>
          <w:sz w:val="24"/>
          <w:szCs w:val="20"/>
          <w:lang w:val="en-GB" w:eastAsia="fr-BE"/>
          <w14:ligatures w14:val="none"/>
        </w:rPr>
        <w:t xml:space="preserve">, a submission </w:t>
      </w:r>
      <w:r w:rsidR="00E64980" w:rsidRPr="00287C1B">
        <w:rPr>
          <w:rFonts w:ascii="Times New Roman" w:eastAsia="Times New Roman" w:hAnsi="Times New Roman" w:cs="Times New Roman"/>
          <w:kern w:val="0"/>
          <w:sz w:val="24"/>
          <w:szCs w:val="20"/>
          <w:lang w:val="en-GB" w:eastAsia="fr-BE"/>
          <w14:ligatures w14:val="none"/>
        </w:rPr>
        <w:t xml:space="preserve">should be made </w:t>
      </w:r>
      <w:r w:rsidRPr="00287C1B">
        <w:rPr>
          <w:rFonts w:ascii="Times New Roman" w:eastAsia="Times New Roman" w:hAnsi="Times New Roman" w:cs="Times New Roman"/>
          <w:kern w:val="0"/>
          <w:sz w:val="24"/>
          <w:szCs w:val="20"/>
          <w:lang w:val="en-GB" w:eastAsia="fr-BE"/>
          <w14:ligatures w14:val="none"/>
        </w:rPr>
        <w:t xml:space="preserve">within </w:t>
      </w:r>
      <w:r w:rsidR="00E87725" w:rsidRPr="00287C1B">
        <w:rPr>
          <w:rFonts w:ascii="Times New Roman" w:eastAsia="Times New Roman" w:hAnsi="Times New Roman" w:cs="Times New Roman"/>
          <w:kern w:val="0"/>
          <w:sz w:val="24"/>
          <w:szCs w:val="20"/>
          <w:lang w:val="en-GB" w:eastAsia="fr-BE"/>
          <w14:ligatures w14:val="none"/>
        </w:rPr>
        <w:t>six</w:t>
      </w:r>
      <w:r w:rsidRPr="00287C1B">
        <w:rPr>
          <w:rFonts w:ascii="Times New Roman" w:eastAsia="Times New Roman" w:hAnsi="Times New Roman" w:cs="Times New Roman"/>
          <w:kern w:val="0"/>
          <w:sz w:val="24"/>
          <w:szCs w:val="20"/>
          <w:lang w:val="en-GB" w:eastAsia="fr-BE"/>
          <w14:ligatures w14:val="none"/>
        </w:rPr>
        <w:t xml:space="preserve"> months after the publication of the RAC Opinion. </w:t>
      </w:r>
      <w:r w:rsidR="00E64980" w:rsidRPr="00287C1B">
        <w:rPr>
          <w:rFonts w:ascii="Times New Roman" w:eastAsia="Times New Roman" w:hAnsi="Times New Roman" w:cs="Times New Roman"/>
          <w:kern w:val="0"/>
          <w:sz w:val="24"/>
          <w:szCs w:val="20"/>
          <w:lang w:val="en-GB" w:eastAsia="fr-BE"/>
          <w14:ligatures w14:val="none"/>
        </w:rPr>
        <w:t xml:space="preserve">To provide greater legal certainty, the </w:t>
      </w:r>
      <w:r w:rsidRPr="00287C1B">
        <w:rPr>
          <w:rFonts w:ascii="Times New Roman" w:eastAsia="Times New Roman" w:hAnsi="Times New Roman" w:cs="Times New Roman"/>
          <w:kern w:val="0"/>
          <w:sz w:val="24"/>
          <w:szCs w:val="20"/>
          <w:lang w:val="en-GB" w:eastAsia="fr-BE"/>
          <w14:ligatures w14:val="none"/>
        </w:rPr>
        <w:t>CPR</w:t>
      </w:r>
      <w:r w:rsidR="00E64980" w:rsidRPr="00287C1B">
        <w:rPr>
          <w:rFonts w:ascii="Times New Roman" w:eastAsia="Times New Roman" w:hAnsi="Times New Roman" w:cs="Times New Roman"/>
          <w:kern w:val="0"/>
          <w:sz w:val="24"/>
          <w:szCs w:val="20"/>
          <w:lang w:val="en-GB" w:eastAsia="fr-BE"/>
          <w14:ligatures w14:val="none"/>
        </w:rPr>
        <w:t xml:space="preserve"> could explicitly set this deadline</w:t>
      </w:r>
      <w:r w:rsidRPr="00287C1B">
        <w:rPr>
          <w:rFonts w:ascii="Times New Roman" w:eastAsia="Times New Roman" w:hAnsi="Times New Roman" w:cs="Times New Roman"/>
          <w:kern w:val="0"/>
          <w:sz w:val="24"/>
          <w:szCs w:val="20"/>
          <w:lang w:val="en-GB" w:eastAsia="fr-BE"/>
          <w14:ligatures w14:val="none"/>
        </w:rPr>
        <w:t xml:space="preserve"> –</w:t>
      </w:r>
      <w:r w:rsidR="00E64980" w:rsidRPr="00287C1B">
        <w:rPr>
          <w:rFonts w:ascii="Times New Roman" w:eastAsia="Times New Roman" w:hAnsi="Times New Roman" w:cs="Times New Roman"/>
          <w:kern w:val="0"/>
          <w:sz w:val="24"/>
          <w:szCs w:val="20"/>
          <w:lang w:val="en-GB" w:eastAsia="fr-BE"/>
          <w14:ligatures w14:val="none"/>
        </w:rPr>
        <w:t xml:space="preserve"> proposing, for instance, a period of nine </w:t>
      </w:r>
      <w:r w:rsidRPr="00287C1B">
        <w:rPr>
          <w:rFonts w:ascii="Times New Roman" w:eastAsia="Times New Roman" w:hAnsi="Times New Roman" w:cs="Times New Roman"/>
          <w:kern w:val="0"/>
          <w:sz w:val="24"/>
          <w:szCs w:val="20"/>
          <w:lang w:val="en-GB" w:eastAsia="fr-BE"/>
          <w14:ligatures w14:val="none"/>
        </w:rPr>
        <w:t xml:space="preserve">months </w:t>
      </w:r>
      <w:r w:rsidR="00E64980" w:rsidRPr="00287C1B">
        <w:rPr>
          <w:rFonts w:ascii="Times New Roman" w:eastAsia="Times New Roman" w:hAnsi="Times New Roman" w:cs="Times New Roman"/>
          <w:kern w:val="0"/>
          <w:sz w:val="24"/>
          <w:szCs w:val="20"/>
          <w:lang w:val="en-GB" w:eastAsia="fr-BE"/>
          <w14:ligatures w14:val="none"/>
        </w:rPr>
        <w:t xml:space="preserve">following </w:t>
      </w:r>
      <w:r w:rsidRPr="00287C1B">
        <w:rPr>
          <w:rFonts w:ascii="Times New Roman" w:eastAsia="Times New Roman" w:hAnsi="Times New Roman" w:cs="Times New Roman"/>
          <w:kern w:val="0"/>
          <w:sz w:val="24"/>
          <w:szCs w:val="20"/>
          <w:lang w:val="en-GB" w:eastAsia="fr-BE"/>
          <w14:ligatures w14:val="none"/>
        </w:rPr>
        <w:t>the publication of the RAC Opinion.</w:t>
      </w:r>
    </w:p>
    <w:p w14:paraId="2E4547D9" w14:textId="77777777" w:rsidR="00B72A76" w:rsidRPr="002C5F5B" w:rsidRDefault="00B72A76" w:rsidP="00B72A76">
      <w:pPr>
        <w:numPr>
          <w:ilvl w:val="0"/>
          <w:numId w:val="1"/>
        </w:numPr>
        <w:spacing w:after="240" w:line="240" w:lineRule="auto"/>
        <w:jc w:val="both"/>
        <w:rPr>
          <w:rFonts w:ascii="Times New Roman" w:eastAsia="Times New Roman" w:hAnsi="Times New Roman" w:cs="Times New Roman"/>
          <w:b/>
          <w:bCs/>
          <w:i/>
          <w:iCs/>
          <w:kern w:val="0"/>
          <w:sz w:val="24"/>
          <w:szCs w:val="20"/>
          <w:lang w:val="en-GB" w:eastAsia="fr-BE"/>
          <w14:ligatures w14:val="none"/>
        </w:rPr>
      </w:pPr>
      <w:r w:rsidRPr="002C5F5B">
        <w:rPr>
          <w:rFonts w:ascii="Times New Roman" w:eastAsia="Times New Roman" w:hAnsi="Times New Roman" w:cs="Times New Roman"/>
          <w:b/>
          <w:bCs/>
          <w:i/>
          <w:iCs/>
          <w:kern w:val="0"/>
          <w:sz w:val="24"/>
          <w:szCs w:val="20"/>
          <w:lang w:val="en-GB" w:eastAsia="fr-BE"/>
          <w14:ligatures w14:val="none"/>
        </w:rPr>
        <w:t>Introducing transitional periods for compliance with new bans or restrictions</w:t>
      </w:r>
    </w:p>
    <w:p w14:paraId="603DADDB" w14:textId="7632467A" w:rsidR="00A12604" w:rsidRPr="00B72A76" w:rsidRDefault="0081627B" w:rsidP="00A12604">
      <w:pPr>
        <w:spacing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 xml:space="preserve">To enhance legal certainty and enable businesses to take </w:t>
      </w:r>
      <w:r w:rsidR="00E64980">
        <w:rPr>
          <w:rFonts w:ascii="Times New Roman" w:eastAsia="Times New Roman" w:hAnsi="Times New Roman" w:cs="Times New Roman"/>
          <w:kern w:val="0"/>
          <w:sz w:val="24"/>
          <w:szCs w:val="20"/>
          <w:lang w:val="en-GB" w:eastAsia="fr-BE"/>
          <w14:ligatures w14:val="none"/>
        </w:rPr>
        <w:t xml:space="preserve">appropriate </w:t>
      </w:r>
      <w:r>
        <w:rPr>
          <w:rFonts w:ascii="Times New Roman" w:eastAsia="Times New Roman" w:hAnsi="Times New Roman" w:cs="Times New Roman"/>
          <w:kern w:val="0"/>
          <w:sz w:val="24"/>
          <w:szCs w:val="20"/>
          <w:lang w:val="en-GB" w:eastAsia="fr-BE"/>
          <w14:ligatures w14:val="none"/>
        </w:rPr>
        <w:t xml:space="preserve">measures, the CPR could </w:t>
      </w:r>
      <w:r w:rsidR="00E64980">
        <w:rPr>
          <w:rFonts w:ascii="Times New Roman" w:eastAsia="Times New Roman" w:hAnsi="Times New Roman" w:cs="Times New Roman"/>
          <w:kern w:val="0"/>
          <w:sz w:val="24"/>
          <w:szCs w:val="20"/>
          <w:lang w:val="en-GB" w:eastAsia="fr-BE"/>
          <w14:ligatures w14:val="none"/>
        </w:rPr>
        <w:t xml:space="preserve">introduce </w:t>
      </w:r>
      <w:r w:rsidR="00352B7F">
        <w:rPr>
          <w:rFonts w:ascii="Times New Roman" w:eastAsia="Times New Roman" w:hAnsi="Times New Roman" w:cs="Times New Roman"/>
          <w:kern w:val="0"/>
          <w:sz w:val="24"/>
          <w:szCs w:val="20"/>
          <w:lang w:val="en-GB" w:eastAsia="fr-BE"/>
          <w14:ligatures w14:val="none"/>
        </w:rPr>
        <w:t xml:space="preserve">more </w:t>
      </w:r>
      <w:r>
        <w:rPr>
          <w:rFonts w:ascii="Times New Roman" w:eastAsia="Times New Roman" w:hAnsi="Times New Roman" w:cs="Times New Roman"/>
          <w:kern w:val="0"/>
          <w:sz w:val="24"/>
          <w:szCs w:val="20"/>
          <w:lang w:val="en-GB" w:eastAsia="fr-BE"/>
          <w14:ligatures w14:val="none"/>
        </w:rPr>
        <w:t xml:space="preserve">realistic </w:t>
      </w:r>
      <w:r w:rsidR="00352B7F">
        <w:rPr>
          <w:rFonts w:ascii="Times New Roman" w:eastAsia="Times New Roman" w:hAnsi="Times New Roman" w:cs="Times New Roman"/>
          <w:kern w:val="0"/>
          <w:sz w:val="24"/>
          <w:szCs w:val="20"/>
          <w:lang w:val="en-GB" w:eastAsia="fr-BE"/>
          <w14:ligatures w14:val="none"/>
        </w:rPr>
        <w:t xml:space="preserve">adaptation </w:t>
      </w:r>
      <w:r>
        <w:rPr>
          <w:rFonts w:ascii="Times New Roman" w:eastAsia="Times New Roman" w:hAnsi="Times New Roman" w:cs="Times New Roman"/>
          <w:kern w:val="0"/>
          <w:sz w:val="24"/>
          <w:szCs w:val="20"/>
          <w:lang w:val="en-GB" w:eastAsia="fr-BE"/>
          <w14:ligatures w14:val="none"/>
        </w:rPr>
        <w:t>timelines</w:t>
      </w:r>
      <w:r w:rsidR="00E64980">
        <w:rPr>
          <w:rFonts w:ascii="Times New Roman" w:eastAsia="Times New Roman" w:hAnsi="Times New Roman" w:cs="Times New Roman"/>
          <w:kern w:val="0"/>
          <w:sz w:val="24"/>
          <w:szCs w:val="20"/>
          <w:lang w:val="en-GB" w:eastAsia="fr-BE"/>
          <w14:ligatures w14:val="none"/>
        </w:rPr>
        <w:t xml:space="preserve"> </w:t>
      </w:r>
      <w:r w:rsidR="00E64980" w:rsidRPr="0055449D">
        <w:rPr>
          <w:rFonts w:ascii="Times New Roman" w:eastAsia="Times New Roman" w:hAnsi="Times New Roman" w:cs="Times New Roman"/>
          <w:kern w:val="0"/>
          <w:sz w:val="24"/>
          <w:szCs w:val="20"/>
          <w:lang w:val="en-GB" w:eastAsia="fr-BE"/>
          <w14:ligatures w14:val="none"/>
        </w:rPr>
        <w:t>–</w:t>
      </w:r>
      <w:r w:rsidR="00E64980">
        <w:rPr>
          <w:rFonts w:ascii="Times New Roman" w:eastAsia="Times New Roman" w:hAnsi="Times New Roman" w:cs="Times New Roman"/>
          <w:kern w:val="0"/>
          <w:sz w:val="24"/>
          <w:szCs w:val="20"/>
          <w:lang w:val="en-GB" w:eastAsia="fr-BE"/>
          <w14:ligatures w14:val="none"/>
        </w:rPr>
        <w:t xml:space="preserve"> such as </w:t>
      </w:r>
      <w:r w:rsidRPr="0055449D">
        <w:rPr>
          <w:rFonts w:ascii="Times New Roman" w:eastAsia="Times New Roman" w:hAnsi="Times New Roman" w:cs="Times New Roman"/>
          <w:kern w:val="0"/>
          <w:sz w:val="24"/>
          <w:szCs w:val="20"/>
          <w:lang w:val="en-GB" w:eastAsia="fr-BE"/>
          <w14:ligatures w14:val="none"/>
        </w:rPr>
        <w:t>24 months for products placed on the market and 36 moths for products available on the market</w:t>
      </w:r>
      <w:r w:rsidRPr="0081627B">
        <w:rPr>
          <w:rFonts w:ascii="Times New Roman" w:eastAsia="Times New Roman" w:hAnsi="Times New Roman" w:cs="Times New Roman"/>
          <w:kern w:val="0"/>
          <w:sz w:val="24"/>
          <w:szCs w:val="20"/>
          <w:lang w:val="en-GB" w:eastAsia="fr-BE"/>
          <w14:ligatures w14:val="none"/>
        </w:rPr>
        <w:t xml:space="preserve"> </w:t>
      </w:r>
      <w:r w:rsidR="00E64980" w:rsidRPr="0055449D">
        <w:rPr>
          <w:rFonts w:ascii="Times New Roman" w:eastAsia="Times New Roman" w:hAnsi="Times New Roman" w:cs="Times New Roman"/>
          <w:kern w:val="0"/>
          <w:sz w:val="24"/>
          <w:szCs w:val="20"/>
          <w:lang w:val="en-GB" w:eastAsia="fr-BE"/>
          <w14:ligatures w14:val="none"/>
        </w:rPr>
        <w:t>–</w:t>
      </w:r>
      <w:r w:rsidR="00E64980">
        <w:rPr>
          <w:rFonts w:ascii="Times New Roman" w:eastAsia="Times New Roman" w:hAnsi="Times New Roman" w:cs="Times New Roman"/>
          <w:kern w:val="0"/>
          <w:sz w:val="24"/>
          <w:szCs w:val="20"/>
          <w:lang w:val="en-GB" w:eastAsia="fr-BE"/>
          <w14:ligatures w14:val="none"/>
        </w:rPr>
        <w:t xml:space="preserve"> following the e</w:t>
      </w:r>
      <w:r w:rsidRPr="0081627B">
        <w:rPr>
          <w:rFonts w:ascii="Times New Roman" w:eastAsia="Times New Roman" w:hAnsi="Times New Roman" w:cs="Times New Roman"/>
          <w:kern w:val="0"/>
          <w:sz w:val="24"/>
          <w:szCs w:val="20"/>
          <w:lang w:val="en-GB" w:eastAsia="fr-BE"/>
          <w14:ligatures w14:val="none"/>
        </w:rPr>
        <w:t>ntry into force of amendments to Part 3 of Annex VI to Regulation (EC) No 1272/2008 classifying the substances concerned as CMR category 1A, 1B or 2.</w:t>
      </w:r>
      <w:r>
        <w:rPr>
          <w:rFonts w:ascii="Times New Roman" w:eastAsia="Times New Roman" w:hAnsi="Times New Roman" w:cs="Times New Roman"/>
          <w:kern w:val="0"/>
          <w:sz w:val="24"/>
          <w:szCs w:val="20"/>
          <w:lang w:val="en-GB" w:eastAsia="fr-BE"/>
          <w14:ligatures w14:val="none"/>
        </w:rPr>
        <w:t xml:space="preserve"> </w:t>
      </w:r>
      <w:r w:rsidR="000E5206">
        <w:rPr>
          <w:rFonts w:ascii="Times New Roman" w:eastAsia="Times New Roman" w:hAnsi="Times New Roman" w:cs="Times New Roman"/>
          <w:kern w:val="0"/>
          <w:sz w:val="24"/>
          <w:szCs w:val="20"/>
          <w:lang w:val="en-GB" w:eastAsia="fr-BE"/>
          <w14:ligatures w14:val="none"/>
        </w:rPr>
        <w:t>These</w:t>
      </w:r>
      <w:r>
        <w:rPr>
          <w:rFonts w:ascii="Times New Roman" w:eastAsia="Times New Roman" w:hAnsi="Times New Roman" w:cs="Times New Roman"/>
          <w:kern w:val="0"/>
          <w:sz w:val="24"/>
          <w:szCs w:val="20"/>
          <w:lang w:val="en-GB" w:eastAsia="fr-BE"/>
          <w14:ligatures w14:val="none"/>
        </w:rPr>
        <w:t xml:space="preserve"> timeline</w:t>
      </w:r>
      <w:r w:rsidR="000E5206">
        <w:rPr>
          <w:rFonts w:ascii="Times New Roman" w:eastAsia="Times New Roman" w:hAnsi="Times New Roman" w:cs="Times New Roman"/>
          <w:kern w:val="0"/>
          <w:sz w:val="24"/>
          <w:szCs w:val="20"/>
          <w:lang w:val="en-GB" w:eastAsia="fr-BE"/>
          <w14:ligatures w14:val="none"/>
        </w:rPr>
        <w:t>s</w:t>
      </w:r>
      <w:r>
        <w:rPr>
          <w:rFonts w:ascii="Times New Roman" w:eastAsia="Times New Roman" w:hAnsi="Times New Roman" w:cs="Times New Roman"/>
          <w:kern w:val="0"/>
          <w:sz w:val="24"/>
          <w:szCs w:val="20"/>
          <w:lang w:val="en-GB" w:eastAsia="fr-BE"/>
          <w14:ligatures w14:val="none"/>
        </w:rPr>
        <w:t xml:space="preserve"> could be extended </w:t>
      </w:r>
      <w:r w:rsidR="000E5206">
        <w:rPr>
          <w:rFonts w:ascii="Times New Roman" w:eastAsia="Times New Roman" w:hAnsi="Times New Roman" w:cs="Times New Roman"/>
          <w:kern w:val="0"/>
          <w:sz w:val="24"/>
          <w:szCs w:val="20"/>
          <w:lang w:val="en-GB" w:eastAsia="fr-BE"/>
          <w14:ligatures w14:val="none"/>
        </w:rPr>
        <w:t>in cases where a</w:t>
      </w:r>
      <w:r>
        <w:rPr>
          <w:rFonts w:ascii="Times New Roman" w:eastAsia="Times New Roman" w:hAnsi="Times New Roman" w:cs="Times New Roman"/>
          <w:kern w:val="0"/>
          <w:sz w:val="24"/>
          <w:szCs w:val="20"/>
          <w:lang w:val="en-GB" w:eastAsia="fr-BE"/>
          <w14:ligatures w14:val="none"/>
        </w:rPr>
        <w:t xml:space="preserve"> derogation </w:t>
      </w:r>
      <w:r w:rsidR="000E5206">
        <w:rPr>
          <w:rFonts w:ascii="Times New Roman" w:eastAsia="Times New Roman" w:hAnsi="Times New Roman" w:cs="Times New Roman"/>
          <w:kern w:val="0"/>
          <w:sz w:val="24"/>
          <w:szCs w:val="20"/>
          <w:lang w:val="en-GB" w:eastAsia="fr-BE"/>
          <w14:ligatures w14:val="none"/>
        </w:rPr>
        <w:t>request has been submitted and the SC</w:t>
      </w:r>
      <w:r>
        <w:rPr>
          <w:rFonts w:ascii="Times New Roman" w:eastAsia="Times New Roman" w:hAnsi="Times New Roman" w:cs="Times New Roman"/>
          <w:kern w:val="0"/>
          <w:sz w:val="24"/>
          <w:szCs w:val="20"/>
          <w:lang w:val="en-GB" w:eastAsia="fr-BE"/>
          <w14:ligatures w14:val="none"/>
        </w:rPr>
        <w:t xml:space="preserve">CS opinion was </w:t>
      </w:r>
      <w:r w:rsidR="000E5206">
        <w:rPr>
          <w:rFonts w:ascii="Times New Roman" w:eastAsia="Times New Roman" w:hAnsi="Times New Roman" w:cs="Times New Roman"/>
          <w:kern w:val="0"/>
          <w:sz w:val="24"/>
          <w:szCs w:val="20"/>
          <w:lang w:val="en-GB" w:eastAsia="fr-BE"/>
          <w14:ligatures w14:val="none"/>
        </w:rPr>
        <w:t>has been sought</w:t>
      </w:r>
      <w:r>
        <w:rPr>
          <w:rFonts w:ascii="Times New Roman" w:eastAsia="Times New Roman" w:hAnsi="Times New Roman" w:cs="Times New Roman"/>
          <w:kern w:val="0"/>
          <w:sz w:val="24"/>
          <w:szCs w:val="20"/>
          <w:lang w:val="en-GB" w:eastAsia="fr-BE"/>
          <w14:ligatures w14:val="none"/>
        </w:rPr>
        <w:t>.</w:t>
      </w:r>
      <w:r w:rsidRPr="0081627B">
        <w:rPr>
          <w:rFonts w:ascii="Times New Roman" w:eastAsia="Times New Roman" w:hAnsi="Times New Roman" w:cs="Times New Roman"/>
          <w:kern w:val="0"/>
          <w:sz w:val="24"/>
          <w:szCs w:val="20"/>
          <w:lang w:val="en-GB" w:eastAsia="fr-BE"/>
          <w14:ligatures w14:val="none"/>
        </w:rPr>
        <w:t xml:space="preserve">  </w:t>
      </w:r>
    </w:p>
    <w:p w14:paraId="32E21B96" w14:textId="77777777" w:rsidR="00B72A76" w:rsidRPr="00287C1B" w:rsidRDefault="00B72A76" w:rsidP="00B72A76">
      <w:pPr>
        <w:numPr>
          <w:ilvl w:val="0"/>
          <w:numId w:val="1"/>
        </w:numPr>
        <w:spacing w:after="240" w:line="240" w:lineRule="auto"/>
        <w:jc w:val="both"/>
        <w:rPr>
          <w:rFonts w:ascii="Times New Roman" w:eastAsia="Times New Roman" w:hAnsi="Times New Roman" w:cs="Times New Roman"/>
          <w:b/>
          <w:bCs/>
          <w:i/>
          <w:iCs/>
          <w:kern w:val="0"/>
          <w:sz w:val="24"/>
          <w:szCs w:val="20"/>
          <w:lang w:val="en-GB" w:eastAsia="fr-BE"/>
          <w14:ligatures w14:val="none"/>
        </w:rPr>
      </w:pPr>
      <w:r w:rsidRPr="00287C1B">
        <w:rPr>
          <w:rFonts w:ascii="Times New Roman" w:eastAsia="Times New Roman" w:hAnsi="Times New Roman" w:cs="Times New Roman"/>
          <w:b/>
          <w:bCs/>
          <w:i/>
          <w:iCs/>
          <w:kern w:val="0"/>
          <w:sz w:val="24"/>
          <w:szCs w:val="20"/>
          <w:lang w:val="en-GB" w:eastAsia="fr-BE"/>
          <w14:ligatures w14:val="none"/>
        </w:rPr>
        <w:t>Simplifying derogation criteria under Article 15(2)</w:t>
      </w:r>
    </w:p>
    <w:p w14:paraId="1DF5F0A8" w14:textId="07E96796" w:rsidR="002C5F5B" w:rsidRPr="00287C1B" w:rsidRDefault="002C5F5B" w:rsidP="00716C2B">
      <w:pPr>
        <w:spacing w:after="0" w:line="240" w:lineRule="auto"/>
        <w:jc w:val="both"/>
        <w:rPr>
          <w:rFonts w:ascii="Times New Roman" w:eastAsia="Times New Roman" w:hAnsi="Times New Roman" w:cs="Times New Roman"/>
          <w:kern w:val="0"/>
          <w:sz w:val="24"/>
          <w:szCs w:val="20"/>
          <w:lang w:val="en-GB" w:eastAsia="fr-BE"/>
          <w14:ligatures w14:val="none"/>
        </w:rPr>
      </w:pPr>
      <w:r w:rsidRPr="00287C1B">
        <w:rPr>
          <w:rFonts w:ascii="Times New Roman" w:eastAsia="Times New Roman" w:hAnsi="Times New Roman" w:cs="Times New Roman"/>
          <w:kern w:val="0"/>
          <w:sz w:val="24"/>
          <w:szCs w:val="20"/>
          <w:lang w:val="en-GB" w:eastAsia="fr-BE"/>
          <w14:ligatures w14:val="none"/>
        </w:rPr>
        <w:t>Among the derogation criteria of Article 15(2), two criteria could be revisited:</w:t>
      </w:r>
    </w:p>
    <w:p w14:paraId="7F1E1A78" w14:textId="2DA6F266" w:rsidR="002C5F5B" w:rsidRPr="00287C1B" w:rsidRDefault="002C5F5B" w:rsidP="00716C2B">
      <w:pPr>
        <w:spacing w:before="120" w:after="0" w:line="240" w:lineRule="auto"/>
        <w:jc w:val="both"/>
        <w:rPr>
          <w:rFonts w:ascii="Times New Roman" w:eastAsia="Times New Roman" w:hAnsi="Times New Roman" w:cs="Times New Roman"/>
          <w:kern w:val="0"/>
          <w:sz w:val="24"/>
          <w:szCs w:val="20"/>
          <w:lang w:val="en-GB" w:eastAsia="fr-BE"/>
          <w14:ligatures w14:val="none"/>
        </w:rPr>
      </w:pPr>
      <w:r w:rsidRPr="00287C1B">
        <w:rPr>
          <w:rFonts w:ascii="Times New Roman" w:eastAsia="Times New Roman" w:hAnsi="Times New Roman" w:cs="Times New Roman"/>
          <w:kern w:val="0"/>
          <w:sz w:val="24"/>
          <w:szCs w:val="20"/>
          <w:lang w:val="en-GB" w:eastAsia="fr-BE"/>
          <w14:ligatures w14:val="none"/>
        </w:rPr>
        <w:t>a)</w:t>
      </w:r>
      <w:r w:rsidRPr="00287C1B">
        <w:rPr>
          <w:rFonts w:ascii="Times New Roman" w:eastAsia="Times New Roman" w:hAnsi="Times New Roman" w:cs="Times New Roman"/>
          <w:kern w:val="0"/>
          <w:sz w:val="24"/>
          <w:szCs w:val="20"/>
          <w:lang w:val="en-GB" w:eastAsia="fr-BE"/>
          <w14:ligatures w14:val="none"/>
        </w:rPr>
        <w:tab/>
        <w:t>the compliance with the food safety requirements and</w:t>
      </w:r>
    </w:p>
    <w:p w14:paraId="5E815CC9" w14:textId="311D8EF3" w:rsidR="002C5F5B" w:rsidRPr="00287C1B" w:rsidRDefault="002C5F5B" w:rsidP="008F57C2">
      <w:pPr>
        <w:spacing w:before="120" w:after="120" w:line="240" w:lineRule="auto"/>
        <w:jc w:val="both"/>
        <w:rPr>
          <w:rFonts w:ascii="Times New Roman" w:eastAsia="Times New Roman" w:hAnsi="Times New Roman" w:cs="Times New Roman"/>
          <w:kern w:val="0"/>
          <w:sz w:val="24"/>
          <w:szCs w:val="20"/>
          <w:lang w:val="en-GB" w:eastAsia="fr-BE"/>
          <w14:ligatures w14:val="none"/>
        </w:rPr>
      </w:pPr>
      <w:r w:rsidRPr="00287C1B">
        <w:rPr>
          <w:rFonts w:ascii="Times New Roman" w:eastAsia="Times New Roman" w:hAnsi="Times New Roman" w:cs="Times New Roman"/>
          <w:kern w:val="0"/>
          <w:sz w:val="24"/>
          <w:szCs w:val="20"/>
          <w:lang w:val="en-GB" w:eastAsia="fr-BE"/>
          <w14:ligatures w14:val="none"/>
        </w:rPr>
        <w:t>b)</w:t>
      </w:r>
      <w:r w:rsidRPr="00287C1B">
        <w:rPr>
          <w:rFonts w:ascii="Times New Roman" w:eastAsia="Times New Roman" w:hAnsi="Times New Roman" w:cs="Times New Roman"/>
          <w:kern w:val="0"/>
          <w:sz w:val="24"/>
          <w:szCs w:val="20"/>
          <w:lang w:val="en-GB" w:eastAsia="fr-BE"/>
          <w14:ligatures w14:val="none"/>
        </w:rPr>
        <w:tab/>
        <w:t xml:space="preserve">the application which </w:t>
      </w:r>
      <w:r w:rsidR="00352B7F" w:rsidRPr="00287C1B">
        <w:rPr>
          <w:rFonts w:ascii="Times New Roman" w:eastAsia="Times New Roman" w:hAnsi="Times New Roman" w:cs="Times New Roman"/>
          <w:kern w:val="0"/>
          <w:sz w:val="24"/>
          <w:szCs w:val="20"/>
          <w:lang w:val="en-GB" w:eastAsia="fr-BE"/>
          <w14:ligatures w14:val="none"/>
        </w:rPr>
        <w:t>must</w:t>
      </w:r>
      <w:r w:rsidRPr="00287C1B">
        <w:rPr>
          <w:rFonts w:ascii="Times New Roman" w:eastAsia="Times New Roman" w:hAnsi="Times New Roman" w:cs="Times New Roman"/>
          <w:kern w:val="0"/>
          <w:sz w:val="24"/>
          <w:szCs w:val="20"/>
          <w:lang w:val="en-GB" w:eastAsia="fr-BE"/>
          <w14:ligatures w14:val="none"/>
        </w:rPr>
        <w:t xml:space="preserve"> be made for a particular use of the product category with a known exposure.</w:t>
      </w:r>
    </w:p>
    <w:p w14:paraId="00522BF7" w14:textId="4697CCBF" w:rsidR="008C7899" w:rsidRDefault="002C5F5B" w:rsidP="002C5F5B">
      <w:pPr>
        <w:spacing w:after="240" w:line="240" w:lineRule="auto"/>
        <w:jc w:val="both"/>
        <w:rPr>
          <w:rFonts w:ascii="Times New Roman" w:eastAsia="Times New Roman" w:hAnsi="Times New Roman" w:cs="Times New Roman"/>
          <w:kern w:val="0"/>
          <w:sz w:val="24"/>
          <w:szCs w:val="20"/>
          <w:lang w:val="en-GB" w:eastAsia="fr-BE"/>
          <w14:ligatures w14:val="none"/>
        </w:rPr>
      </w:pPr>
      <w:r w:rsidRPr="00287C1B">
        <w:rPr>
          <w:rFonts w:ascii="Times New Roman" w:eastAsia="Times New Roman" w:hAnsi="Times New Roman" w:cs="Times New Roman"/>
          <w:kern w:val="0"/>
          <w:sz w:val="24"/>
          <w:szCs w:val="20"/>
          <w:lang w:val="en-GB" w:eastAsia="fr-BE"/>
          <w14:ligatures w14:val="none"/>
        </w:rPr>
        <w:t>As regards the first criterion, a</w:t>
      </w:r>
      <w:r w:rsidR="000E5206" w:rsidRPr="00287C1B">
        <w:rPr>
          <w:rFonts w:ascii="Times New Roman" w:eastAsia="Times New Roman" w:hAnsi="Times New Roman" w:cs="Times New Roman"/>
          <w:kern w:val="0"/>
          <w:sz w:val="24"/>
          <w:szCs w:val="20"/>
          <w:lang w:val="en-GB" w:eastAsia="fr-BE"/>
          <w14:ligatures w14:val="none"/>
        </w:rPr>
        <w:t>dvances</w:t>
      </w:r>
      <w:r w:rsidR="007E5E2B" w:rsidRPr="00287C1B">
        <w:rPr>
          <w:rFonts w:ascii="Times New Roman" w:eastAsia="Times New Roman" w:hAnsi="Times New Roman" w:cs="Times New Roman"/>
          <w:kern w:val="0"/>
          <w:sz w:val="24"/>
          <w:szCs w:val="20"/>
          <w:lang w:val="en-GB" w:eastAsia="fr-BE"/>
          <w14:ligatures w14:val="none"/>
        </w:rPr>
        <w:t xml:space="preserve"> in innovative techniques </w:t>
      </w:r>
      <w:r w:rsidR="000E5206" w:rsidRPr="00287C1B">
        <w:rPr>
          <w:rFonts w:ascii="Times New Roman" w:eastAsia="Times New Roman" w:hAnsi="Times New Roman" w:cs="Times New Roman"/>
          <w:kern w:val="0"/>
          <w:sz w:val="24"/>
          <w:szCs w:val="20"/>
          <w:lang w:val="en-GB" w:eastAsia="fr-BE"/>
          <w14:ligatures w14:val="none"/>
        </w:rPr>
        <w:t xml:space="preserve">have led to </w:t>
      </w:r>
      <w:r w:rsidR="007E5E2B" w:rsidRPr="00287C1B">
        <w:rPr>
          <w:rFonts w:ascii="Times New Roman" w:eastAsia="Times New Roman" w:hAnsi="Times New Roman" w:cs="Times New Roman"/>
          <w:kern w:val="0"/>
          <w:sz w:val="24"/>
          <w:szCs w:val="20"/>
          <w:lang w:val="en-GB" w:eastAsia="fr-BE"/>
          <w14:ligatures w14:val="none"/>
        </w:rPr>
        <w:t xml:space="preserve">the </w:t>
      </w:r>
      <w:r w:rsidR="000E5206" w:rsidRPr="00287C1B">
        <w:rPr>
          <w:rFonts w:ascii="Times New Roman" w:eastAsia="Times New Roman" w:hAnsi="Times New Roman" w:cs="Times New Roman"/>
          <w:kern w:val="0"/>
          <w:sz w:val="24"/>
          <w:szCs w:val="20"/>
          <w:lang w:val="en-GB" w:eastAsia="fr-BE"/>
          <w14:ligatures w14:val="none"/>
        </w:rPr>
        <w:t xml:space="preserve">development </w:t>
      </w:r>
      <w:r w:rsidR="007E5E2B" w:rsidRPr="00287C1B">
        <w:rPr>
          <w:rFonts w:ascii="Times New Roman" w:eastAsia="Times New Roman" w:hAnsi="Times New Roman" w:cs="Times New Roman"/>
          <w:kern w:val="0"/>
          <w:sz w:val="24"/>
          <w:szCs w:val="20"/>
          <w:lang w:val="en-GB" w:eastAsia="fr-BE"/>
          <w14:ligatures w14:val="none"/>
        </w:rPr>
        <w:t>of new substances on a</w:t>
      </w:r>
      <w:r w:rsidR="000E5206" w:rsidRPr="00287C1B">
        <w:rPr>
          <w:rFonts w:ascii="Times New Roman" w:eastAsia="Times New Roman" w:hAnsi="Times New Roman" w:cs="Times New Roman"/>
          <w:kern w:val="0"/>
          <w:sz w:val="24"/>
          <w:szCs w:val="20"/>
          <w:lang w:val="en-GB" w:eastAsia="fr-BE"/>
          <w14:ligatures w14:val="none"/>
        </w:rPr>
        <w:t>n</w:t>
      </w:r>
      <w:r w:rsidR="007E5E2B" w:rsidRPr="00287C1B">
        <w:rPr>
          <w:rFonts w:ascii="Times New Roman" w:eastAsia="Times New Roman" w:hAnsi="Times New Roman" w:cs="Times New Roman"/>
          <w:kern w:val="0"/>
          <w:sz w:val="24"/>
          <w:szCs w:val="20"/>
          <w:lang w:val="en-GB" w:eastAsia="fr-BE"/>
          <w14:ligatures w14:val="none"/>
        </w:rPr>
        <w:t xml:space="preserve"> </w:t>
      </w:r>
      <w:r w:rsidR="000E5206" w:rsidRPr="00287C1B">
        <w:rPr>
          <w:rFonts w:ascii="Times New Roman" w:eastAsia="Times New Roman" w:hAnsi="Times New Roman" w:cs="Times New Roman"/>
          <w:kern w:val="0"/>
          <w:sz w:val="24"/>
          <w:szCs w:val="20"/>
          <w:lang w:val="en-GB" w:eastAsia="fr-BE"/>
          <w14:ligatures w14:val="none"/>
        </w:rPr>
        <w:t xml:space="preserve">almost </w:t>
      </w:r>
      <w:r w:rsidR="007E5E2B" w:rsidRPr="00287C1B">
        <w:rPr>
          <w:rFonts w:ascii="Times New Roman" w:eastAsia="Times New Roman" w:hAnsi="Times New Roman" w:cs="Times New Roman"/>
          <w:kern w:val="0"/>
          <w:sz w:val="24"/>
          <w:szCs w:val="20"/>
          <w:lang w:val="en-GB" w:eastAsia="fr-BE"/>
          <w14:ligatures w14:val="none"/>
        </w:rPr>
        <w:t xml:space="preserve">daily basis. </w:t>
      </w:r>
      <w:r w:rsidR="000E5206" w:rsidRPr="00287C1B">
        <w:rPr>
          <w:rFonts w:ascii="Times New Roman" w:eastAsia="Times New Roman" w:hAnsi="Times New Roman" w:cs="Times New Roman"/>
          <w:kern w:val="0"/>
          <w:sz w:val="24"/>
          <w:szCs w:val="20"/>
          <w:lang w:val="en-GB" w:eastAsia="fr-BE"/>
          <w14:ligatures w14:val="none"/>
        </w:rPr>
        <w:t>While t</w:t>
      </w:r>
      <w:r w:rsidR="007E5E2B" w:rsidRPr="00287C1B">
        <w:rPr>
          <w:rFonts w:ascii="Times New Roman" w:eastAsia="Times New Roman" w:hAnsi="Times New Roman" w:cs="Times New Roman"/>
          <w:kern w:val="0"/>
          <w:sz w:val="24"/>
          <w:szCs w:val="20"/>
          <w:lang w:val="en-GB" w:eastAsia="fr-BE"/>
          <w14:ligatures w14:val="none"/>
        </w:rPr>
        <w:t>he food safety criterion</w:t>
      </w:r>
      <w:r w:rsidR="000E5206" w:rsidRPr="00287C1B">
        <w:rPr>
          <w:rFonts w:ascii="Times New Roman" w:eastAsia="Times New Roman" w:hAnsi="Times New Roman" w:cs="Times New Roman"/>
          <w:kern w:val="0"/>
          <w:sz w:val="24"/>
          <w:szCs w:val="20"/>
          <w:lang w:val="en-GB" w:eastAsia="fr-BE"/>
          <w14:ligatures w14:val="none"/>
        </w:rPr>
        <w:t xml:space="preserve"> may have been </w:t>
      </w:r>
      <w:r w:rsidR="007E5E2B" w:rsidRPr="00287C1B">
        <w:rPr>
          <w:rFonts w:ascii="Times New Roman" w:eastAsia="Times New Roman" w:hAnsi="Times New Roman" w:cs="Times New Roman"/>
          <w:kern w:val="0"/>
          <w:sz w:val="24"/>
          <w:szCs w:val="20"/>
          <w:lang w:val="en-GB" w:eastAsia="fr-BE"/>
          <w14:ligatures w14:val="none"/>
        </w:rPr>
        <w:t xml:space="preserve">justified 15 years ago, </w:t>
      </w:r>
      <w:r w:rsidR="00352B7F" w:rsidRPr="00287C1B">
        <w:rPr>
          <w:rFonts w:ascii="Times New Roman" w:eastAsia="Times New Roman" w:hAnsi="Times New Roman" w:cs="Times New Roman"/>
          <w:kern w:val="0"/>
          <w:sz w:val="24"/>
          <w:szCs w:val="20"/>
          <w:lang w:val="en-GB" w:eastAsia="fr-BE"/>
          <w14:ligatures w14:val="none"/>
        </w:rPr>
        <w:t xml:space="preserve">several stakeholders consider that </w:t>
      </w:r>
      <w:r w:rsidR="000E5206" w:rsidRPr="00287C1B">
        <w:rPr>
          <w:rFonts w:ascii="Times New Roman" w:eastAsia="Times New Roman" w:hAnsi="Times New Roman" w:cs="Times New Roman"/>
          <w:kern w:val="0"/>
          <w:sz w:val="24"/>
          <w:szCs w:val="20"/>
          <w:lang w:val="en-GB" w:eastAsia="fr-BE"/>
          <w14:ligatures w14:val="none"/>
        </w:rPr>
        <w:t>i</w:t>
      </w:r>
      <w:r w:rsidR="00E87725" w:rsidRPr="00287C1B">
        <w:rPr>
          <w:rFonts w:ascii="Times New Roman" w:eastAsia="Times New Roman" w:hAnsi="Times New Roman" w:cs="Times New Roman"/>
          <w:kern w:val="0"/>
          <w:sz w:val="24"/>
          <w:szCs w:val="20"/>
          <w:lang w:val="en-GB" w:eastAsia="fr-BE"/>
          <w14:ligatures w14:val="none"/>
        </w:rPr>
        <w:t>t</w:t>
      </w:r>
      <w:r w:rsidR="000E5206" w:rsidRPr="00287C1B">
        <w:rPr>
          <w:rFonts w:ascii="Times New Roman" w:eastAsia="Times New Roman" w:hAnsi="Times New Roman" w:cs="Times New Roman"/>
          <w:kern w:val="0"/>
          <w:sz w:val="24"/>
          <w:szCs w:val="20"/>
          <w:lang w:val="en-GB" w:eastAsia="fr-BE"/>
          <w14:ligatures w14:val="none"/>
        </w:rPr>
        <w:t xml:space="preserve"> now risks becoming a barrier to the use of </w:t>
      </w:r>
      <w:r w:rsidR="007E5E2B" w:rsidRPr="00287C1B">
        <w:rPr>
          <w:rFonts w:ascii="Times New Roman" w:eastAsia="Times New Roman" w:hAnsi="Times New Roman" w:cs="Times New Roman"/>
          <w:kern w:val="0"/>
          <w:sz w:val="24"/>
          <w:szCs w:val="20"/>
          <w:lang w:val="en-GB" w:eastAsia="fr-BE"/>
          <w14:ligatures w14:val="none"/>
        </w:rPr>
        <w:t>substance</w:t>
      </w:r>
      <w:r w:rsidR="000E5206" w:rsidRPr="00287C1B">
        <w:rPr>
          <w:rFonts w:ascii="Times New Roman" w:eastAsia="Times New Roman" w:hAnsi="Times New Roman" w:cs="Times New Roman"/>
          <w:kern w:val="0"/>
          <w:sz w:val="24"/>
          <w:szCs w:val="20"/>
          <w:lang w:val="en-GB" w:eastAsia="fr-BE"/>
          <w14:ligatures w14:val="none"/>
        </w:rPr>
        <w:t>s</w:t>
      </w:r>
      <w:r w:rsidR="007E5E2B" w:rsidRPr="00287C1B">
        <w:rPr>
          <w:rFonts w:ascii="Times New Roman" w:eastAsia="Times New Roman" w:hAnsi="Times New Roman" w:cs="Times New Roman"/>
          <w:kern w:val="0"/>
          <w:sz w:val="24"/>
          <w:szCs w:val="20"/>
          <w:lang w:val="en-GB" w:eastAsia="fr-BE"/>
          <w14:ligatures w14:val="none"/>
        </w:rPr>
        <w:t xml:space="preserve"> </w:t>
      </w:r>
      <w:r w:rsidR="000E5206" w:rsidRPr="00287C1B">
        <w:rPr>
          <w:rFonts w:ascii="Times New Roman" w:eastAsia="Times New Roman" w:hAnsi="Times New Roman" w:cs="Times New Roman"/>
          <w:kern w:val="0"/>
          <w:sz w:val="24"/>
          <w:szCs w:val="20"/>
          <w:lang w:val="en-GB" w:eastAsia="fr-BE"/>
          <w14:ligatures w14:val="none"/>
        </w:rPr>
        <w:t xml:space="preserve">that are </w:t>
      </w:r>
      <w:r w:rsidR="007E5E2B" w:rsidRPr="00287C1B">
        <w:rPr>
          <w:rFonts w:ascii="Times New Roman" w:eastAsia="Times New Roman" w:hAnsi="Times New Roman" w:cs="Times New Roman"/>
          <w:kern w:val="0"/>
          <w:sz w:val="24"/>
          <w:szCs w:val="20"/>
          <w:lang w:val="en-GB" w:eastAsia="fr-BE"/>
          <w14:ligatures w14:val="none"/>
        </w:rPr>
        <w:t>not present in food</w:t>
      </w:r>
      <w:r w:rsidR="000E5206" w:rsidRPr="00287C1B">
        <w:rPr>
          <w:rFonts w:ascii="Times New Roman" w:eastAsia="Times New Roman" w:hAnsi="Times New Roman" w:cs="Times New Roman"/>
          <w:kern w:val="0"/>
          <w:sz w:val="24"/>
          <w:szCs w:val="20"/>
          <w:lang w:val="en-GB" w:eastAsia="fr-BE"/>
          <w14:ligatures w14:val="none"/>
        </w:rPr>
        <w:t xml:space="preserve"> </w:t>
      </w:r>
      <w:r w:rsidR="007E5E2B" w:rsidRPr="00287C1B">
        <w:rPr>
          <w:rFonts w:ascii="Times New Roman" w:eastAsia="Times New Roman" w:hAnsi="Times New Roman" w:cs="Times New Roman"/>
          <w:kern w:val="0"/>
          <w:sz w:val="24"/>
          <w:szCs w:val="20"/>
          <w:lang w:val="en-GB" w:eastAsia="fr-BE"/>
          <w14:ligatures w14:val="none"/>
        </w:rPr>
        <w:t xml:space="preserve">but </w:t>
      </w:r>
      <w:r w:rsidR="000E5206" w:rsidRPr="00287C1B">
        <w:rPr>
          <w:rFonts w:ascii="Times New Roman" w:eastAsia="Times New Roman" w:hAnsi="Times New Roman" w:cs="Times New Roman"/>
          <w:kern w:val="0"/>
          <w:sz w:val="24"/>
          <w:szCs w:val="20"/>
          <w:lang w:val="en-GB" w:eastAsia="fr-BE"/>
          <w14:ligatures w14:val="none"/>
        </w:rPr>
        <w:t>are demonstrably</w:t>
      </w:r>
      <w:r w:rsidR="007E5E2B" w:rsidRPr="00287C1B">
        <w:rPr>
          <w:rFonts w:ascii="Times New Roman" w:eastAsia="Times New Roman" w:hAnsi="Times New Roman" w:cs="Times New Roman"/>
          <w:kern w:val="0"/>
          <w:sz w:val="24"/>
          <w:szCs w:val="20"/>
          <w:lang w:val="en-GB" w:eastAsia="fr-BE"/>
          <w14:ligatures w14:val="none"/>
        </w:rPr>
        <w:t xml:space="preserve"> safe when applied on the external parts of the human body.</w:t>
      </w:r>
      <w:r w:rsidR="007E5E2B">
        <w:rPr>
          <w:rFonts w:ascii="Times New Roman" w:eastAsia="Times New Roman" w:hAnsi="Times New Roman" w:cs="Times New Roman"/>
          <w:kern w:val="0"/>
          <w:sz w:val="24"/>
          <w:szCs w:val="20"/>
          <w:lang w:val="en-GB" w:eastAsia="fr-BE"/>
          <w14:ligatures w14:val="none"/>
        </w:rPr>
        <w:t xml:space="preserve"> </w:t>
      </w:r>
    </w:p>
    <w:p w14:paraId="769AF31B" w14:textId="7F5B0CE4" w:rsidR="0055449D" w:rsidRDefault="00352B7F" w:rsidP="007E5E2B">
      <w:pPr>
        <w:spacing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lastRenderedPageBreak/>
        <w:t>Interested parties also pointed out that t</w:t>
      </w:r>
      <w:r w:rsidR="002C5F5B">
        <w:rPr>
          <w:rFonts w:ascii="Times New Roman" w:eastAsia="Times New Roman" w:hAnsi="Times New Roman" w:cs="Times New Roman"/>
          <w:kern w:val="0"/>
          <w:sz w:val="24"/>
          <w:szCs w:val="20"/>
          <w:lang w:val="en-GB" w:eastAsia="fr-BE"/>
          <w14:ligatures w14:val="none"/>
        </w:rPr>
        <w:t xml:space="preserve">he added value of the second criterion seems </w:t>
      </w:r>
      <w:r w:rsidR="00E87725">
        <w:rPr>
          <w:rFonts w:ascii="Times New Roman" w:eastAsia="Times New Roman" w:hAnsi="Times New Roman" w:cs="Times New Roman"/>
          <w:kern w:val="0"/>
          <w:sz w:val="24"/>
          <w:szCs w:val="20"/>
          <w:lang w:val="en-GB" w:eastAsia="fr-BE"/>
          <w14:ligatures w14:val="none"/>
        </w:rPr>
        <w:t xml:space="preserve">redundant </w:t>
      </w:r>
      <w:r w:rsidR="002C5F5B">
        <w:rPr>
          <w:rFonts w:ascii="Times New Roman" w:eastAsia="Times New Roman" w:hAnsi="Times New Roman" w:cs="Times New Roman"/>
          <w:kern w:val="0"/>
          <w:sz w:val="24"/>
          <w:szCs w:val="20"/>
          <w:lang w:val="en-GB" w:eastAsia="fr-BE"/>
          <w14:ligatures w14:val="none"/>
        </w:rPr>
        <w:t>as</w:t>
      </w:r>
      <w:r w:rsidR="000E5206">
        <w:rPr>
          <w:rFonts w:ascii="Times New Roman" w:eastAsia="Times New Roman" w:hAnsi="Times New Roman" w:cs="Times New Roman"/>
          <w:kern w:val="0"/>
          <w:sz w:val="24"/>
          <w:szCs w:val="20"/>
          <w:lang w:val="en-GB" w:eastAsia="fr-BE"/>
          <w14:ligatures w14:val="none"/>
        </w:rPr>
        <w:t xml:space="preserve"> t</w:t>
      </w:r>
      <w:r w:rsidR="007E5E2B">
        <w:rPr>
          <w:rFonts w:ascii="Times New Roman" w:eastAsia="Times New Roman" w:hAnsi="Times New Roman" w:cs="Times New Roman"/>
          <w:kern w:val="0"/>
          <w:sz w:val="24"/>
          <w:szCs w:val="20"/>
          <w:lang w:val="en-GB" w:eastAsia="fr-BE"/>
          <w14:ligatures w14:val="none"/>
        </w:rPr>
        <w:t xml:space="preserve">he SCCS </w:t>
      </w:r>
      <w:r w:rsidR="000E5206">
        <w:rPr>
          <w:rFonts w:ascii="Times New Roman" w:eastAsia="Times New Roman" w:hAnsi="Times New Roman" w:cs="Times New Roman"/>
          <w:kern w:val="0"/>
          <w:sz w:val="24"/>
          <w:szCs w:val="20"/>
          <w:lang w:val="en-GB" w:eastAsia="fr-BE"/>
          <w14:ligatures w14:val="none"/>
        </w:rPr>
        <w:t>already evaluates</w:t>
      </w:r>
      <w:r w:rsidR="007E5E2B">
        <w:rPr>
          <w:rFonts w:ascii="Times New Roman" w:eastAsia="Times New Roman" w:hAnsi="Times New Roman" w:cs="Times New Roman"/>
          <w:kern w:val="0"/>
          <w:sz w:val="24"/>
          <w:szCs w:val="20"/>
          <w:lang w:val="en-GB" w:eastAsia="fr-BE"/>
          <w14:ligatures w14:val="none"/>
        </w:rPr>
        <w:t xml:space="preserve"> the safety of ingredient</w:t>
      </w:r>
      <w:r w:rsidR="000E5206">
        <w:rPr>
          <w:rFonts w:ascii="Times New Roman" w:eastAsia="Times New Roman" w:hAnsi="Times New Roman" w:cs="Times New Roman"/>
          <w:kern w:val="0"/>
          <w:sz w:val="24"/>
          <w:szCs w:val="20"/>
          <w:lang w:val="en-GB" w:eastAsia="fr-BE"/>
          <w14:ligatures w14:val="none"/>
        </w:rPr>
        <w:t>s based on the specific use and exposure relevant t</w:t>
      </w:r>
      <w:r w:rsidR="009E15EE">
        <w:rPr>
          <w:rFonts w:ascii="Times New Roman" w:eastAsia="Times New Roman" w:hAnsi="Times New Roman" w:cs="Times New Roman"/>
          <w:kern w:val="0"/>
          <w:sz w:val="24"/>
          <w:szCs w:val="20"/>
          <w:lang w:val="en-GB" w:eastAsia="fr-BE"/>
          <w14:ligatures w14:val="none"/>
        </w:rPr>
        <w:t>o</w:t>
      </w:r>
      <w:r w:rsidR="000E5206">
        <w:rPr>
          <w:rFonts w:ascii="Times New Roman" w:eastAsia="Times New Roman" w:hAnsi="Times New Roman" w:cs="Times New Roman"/>
          <w:kern w:val="0"/>
          <w:sz w:val="24"/>
          <w:szCs w:val="20"/>
          <w:lang w:val="en-GB" w:eastAsia="fr-BE"/>
          <w14:ligatures w14:val="none"/>
        </w:rPr>
        <w:t xml:space="preserve"> each product category. In this context, </w:t>
      </w:r>
      <w:r>
        <w:rPr>
          <w:rFonts w:ascii="Times New Roman" w:eastAsia="Times New Roman" w:hAnsi="Times New Roman" w:cs="Times New Roman"/>
          <w:kern w:val="0"/>
          <w:sz w:val="24"/>
          <w:szCs w:val="20"/>
          <w:lang w:val="en-GB" w:eastAsia="fr-BE"/>
          <w14:ligatures w14:val="none"/>
        </w:rPr>
        <w:t xml:space="preserve">interested parties took the view that it might be difficult to justify </w:t>
      </w:r>
      <w:r w:rsidR="0055449D">
        <w:rPr>
          <w:rFonts w:ascii="Times New Roman" w:eastAsia="Times New Roman" w:hAnsi="Times New Roman" w:cs="Times New Roman"/>
          <w:kern w:val="0"/>
          <w:sz w:val="24"/>
          <w:szCs w:val="20"/>
          <w:lang w:val="en-GB" w:eastAsia="fr-BE"/>
          <w14:ligatures w14:val="none"/>
        </w:rPr>
        <w:t>keeping</w:t>
      </w:r>
      <w:r w:rsidR="007E5E2B">
        <w:rPr>
          <w:rFonts w:ascii="Times New Roman" w:eastAsia="Times New Roman" w:hAnsi="Times New Roman" w:cs="Times New Roman"/>
          <w:kern w:val="0"/>
          <w:sz w:val="24"/>
          <w:szCs w:val="20"/>
          <w:lang w:val="en-GB" w:eastAsia="fr-BE"/>
          <w14:ligatures w14:val="none"/>
        </w:rPr>
        <w:t xml:space="preserve"> this element as a separate criterion</w:t>
      </w:r>
      <w:r w:rsidR="0055449D">
        <w:rPr>
          <w:rFonts w:ascii="Times New Roman" w:eastAsia="Times New Roman" w:hAnsi="Times New Roman" w:cs="Times New Roman"/>
          <w:kern w:val="0"/>
          <w:sz w:val="24"/>
          <w:szCs w:val="20"/>
          <w:lang w:val="en-GB" w:eastAsia="fr-BE"/>
          <w14:ligatures w14:val="none"/>
        </w:rPr>
        <w:t>.</w:t>
      </w:r>
    </w:p>
    <w:p w14:paraId="27491579" w14:textId="0AAB1ECB" w:rsidR="00B72A76" w:rsidRPr="002C5F5B" w:rsidRDefault="00B72A76" w:rsidP="00B72A76">
      <w:pPr>
        <w:numPr>
          <w:ilvl w:val="0"/>
          <w:numId w:val="1"/>
        </w:numPr>
        <w:spacing w:after="240" w:line="240" w:lineRule="auto"/>
        <w:jc w:val="both"/>
        <w:rPr>
          <w:rFonts w:ascii="Times New Roman" w:eastAsia="Times New Roman" w:hAnsi="Times New Roman" w:cs="Times New Roman"/>
          <w:b/>
          <w:bCs/>
          <w:i/>
          <w:iCs/>
          <w:kern w:val="0"/>
          <w:sz w:val="24"/>
          <w:szCs w:val="20"/>
          <w:lang w:val="en-GB" w:eastAsia="fr-BE"/>
          <w14:ligatures w14:val="none"/>
        </w:rPr>
      </w:pPr>
      <w:r w:rsidRPr="002C5F5B">
        <w:rPr>
          <w:rFonts w:ascii="Times New Roman" w:eastAsia="Times New Roman" w:hAnsi="Times New Roman" w:cs="Times New Roman"/>
          <w:b/>
          <w:bCs/>
          <w:i/>
          <w:iCs/>
          <w:kern w:val="0"/>
          <w:sz w:val="24"/>
          <w:szCs w:val="20"/>
          <w:lang w:val="en-GB" w:eastAsia="fr-BE"/>
          <w14:ligatures w14:val="none"/>
        </w:rPr>
        <w:t>Clarifying the regulatory approach to natural complex substances containing CMR Cat. 1 or 2 constituents</w:t>
      </w:r>
    </w:p>
    <w:p w14:paraId="7844D3D7" w14:textId="6A1F86AB" w:rsidR="0055449D" w:rsidRDefault="0055449D" w:rsidP="0055449D">
      <w:pPr>
        <w:spacing w:after="240" w:line="240" w:lineRule="auto"/>
        <w:jc w:val="both"/>
        <w:rPr>
          <w:rFonts w:ascii="Times New Roman" w:eastAsia="Times New Roman" w:hAnsi="Times New Roman" w:cs="Times New Roman"/>
          <w:kern w:val="0"/>
          <w:sz w:val="24"/>
          <w:szCs w:val="20"/>
          <w:lang w:val="en-GB" w:eastAsia="fr-BE"/>
          <w14:ligatures w14:val="none"/>
        </w:rPr>
      </w:pPr>
      <w:proofErr w:type="gramStart"/>
      <w:r>
        <w:rPr>
          <w:rFonts w:ascii="Times New Roman" w:eastAsia="Times New Roman" w:hAnsi="Times New Roman" w:cs="Times New Roman"/>
          <w:kern w:val="0"/>
          <w:sz w:val="24"/>
          <w:szCs w:val="20"/>
          <w:lang w:val="en-GB" w:eastAsia="fr-BE"/>
          <w14:ligatures w14:val="none"/>
        </w:rPr>
        <w:t>For the purpose of</w:t>
      </w:r>
      <w:proofErr w:type="gramEnd"/>
      <w:r>
        <w:rPr>
          <w:rFonts w:ascii="Times New Roman" w:eastAsia="Times New Roman" w:hAnsi="Times New Roman" w:cs="Times New Roman"/>
          <w:kern w:val="0"/>
          <w:sz w:val="24"/>
          <w:szCs w:val="20"/>
          <w:lang w:val="en-GB" w:eastAsia="fr-BE"/>
          <w14:ligatures w14:val="none"/>
        </w:rPr>
        <w:t xml:space="preserve"> legal clarity and certainty</w:t>
      </w:r>
      <w:r w:rsidR="006855F8">
        <w:rPr>
          <w:rFonts w:ascii="Times New Roman" w:eastAsia="Times New Roman" w:hAnsi="Times New Roman" w:cs="Times New Roman"/>
          <w:kern w:val="0"/>
          <w:sz w:val="24"/>
          <w:szCs w:val="20"/>
          <w:lang w:val="en-GB" w:eastAsia="fr-BE"/>
          <w14:ligatures w14:val="none"/>
        </w:rPr>
        <w:t>,</w:t>
      </w:r>
      <w:r>
        <w:rPr>
          <w:rFonts w:ascii="Times New Roman" w:eastAsia="Times New Roman" w:hAnsi="Times New Roman" w:cs="Times New Roman"/>
          <w:kern w:val="0"/>
          <w:sz w:val="24"/>
          <w:szCs w:val="20"/>
          <w:lang w:val="en-GB" w:eastAsia="fr-BE"/>
          <w14:ligatures w14:val="none"/>
        </w:rPr>
        <w:t xml:space="preserve"> the CPR could provide that when </w:t>
      </w:r>
      <w:r w:rsidRPr="0055449D">
        <w:rPr>
          <w:rFonts w:ascii="Times New Roman" w:eastAsia="Times New Roman" w:hAnsi="Times New Roman" w:cs="Times New Roman"/>
          <w:kern w:val="0"/>
          <w:sz w:val="24"/>
          <w:szCs w:val="20"/>
          <w:lang w:val="en-GB" w:eastAsia="fr-BE"/>
          <w14:ligatures w14:val="none"/>
        </w:rPr>
        <w:t xml:space="preserve">a constituent of a multi-constituent substance </w:t>
      </w:r>
      <w:r>
        <w:rPr>
          <w:rFonts w:ascii="Times New Roman" w:eastAsia="Times New Roman" w:hAnsi="Times New Roman" w:cs="Times New Roman"/>
          <w:kern w:val="0"/>
          <w:sz w:val="24"/>
          <w:szCs w:val="20"/>
          <w:lang w:val="en-GB" w:eastAsia="fr-BE"/>
          <w14:ligatures w14:val="none"/>
        </w:rPr>
        <w:t>has been</w:t>
      </w:r>
      <w:r w:rsidRPr="0055449D">
        <w:rPr>
          <w:rFonts w:ascii="Times New Roman" w:eastAsia="Times New Roman" w:hAnsi="Times New Roman" w:cs="Times New Roman"/>
          <w:kern w:val="0"/>
          <w:sz w:val="24"/>
          <w:szCs w:val="20"/>
          <w:lang w:val="en-GB" w:eastAsia="fr-BE"/>
          <w14:ligatures w14:val="none"/>
        </w:rPr>
        <w:t xml:space="preserve"> classified as a CMR substance of categories 1A, 1B and 2, the prohibition </w:t>
      </w:r>
      <w:r>
        <w:rPr>
          <w:rFonts w:ascii="Times New Roman" w:eastAsia="Times New Roman" w:hAnsi="Times New Roman" w:cs="Times New Roman"/>
          <w:kern w:val="0"/>
          <w:sz w:val="24"/>
          <w:szCs w:val="20"/>
          <w:lang w:val="en-GB" w:eastAsia="fr-BE"/>
          <w14:ligatures w14:val="none"/>
        </w:rPr>
        <w:t xml:space="preserve">from Article 15(1) and (2) </w:t>
      </w:r>
      <w:r w:rsidR="00352B7F">
        <w:rPr>
          <w:rFonts w:ascii="Times New Roman" w:eastAsia="Times New Roman" w:hAnsi="Times New Roman" w:cs="Times New Roman"/>
          <w:kern w:val="0"/>
          <w:sz w:val="24"/>
          <w:szCs w:val="20"/>
          <w:lang w:val="en-GB" w:eastAsia="fr-BE"/>
          <w14:ligatures w14:val="none"/>
        </w:rPr>
        <w:t xml:space="preserve">would </w:t>
      </w:r>
      <w:r w:rsidRPr="0055449D">
        <w:rPr>
          <w:rFonts w:ascii="Times New Roman" w:eastAsia="Times New Roman" w:hAnsi="Times New Roman" w:cs="Times New Roman"/>
          <w:kern w:val="0"/>
          <w:sz w:val="24"/>
          <w:szCs w:val="20"/>
          <w:lang w:val="en-GB" w:eastAsia="fr-BE"/>
          <w14:ligatures w14:val="none"/>
        </w:rPr>
        <w:t xml:space="preserve">not apply to </w:t>
      </w:r>
      <w:r>
        <w:rPr>
          <w:rFonts w:ascii="Times New Roman" w:eastAsia="Times New Roman" w:hAnsi="Times New Roman" w:cs="Times New Roman"/>
          <w:kern w:val="0"/>
          <w:sz w:val="24"/>
          <w:szCs w:val="20"/>
          <w:lang w:val="en-GB" w:eastAsia="fr-BE"/>
          <w14:ligatures w14:val="none"/>
        </w:rPr>
        <w:t xml:space="preserve">such a </w:t>
      </w:r>
      <w:r w:rsidRPr="0055449D">
        <w:rPr>
          <w:rFonts w:ascii="Times New Roman" w:eastAsia="Times New Roman" w:hAnsi="Times New Roman" w:cs="Times New Roman"/>
          <w:kern w:val="0"/>
          <w:sz w:val="24"/>
          <w:szCs w:val="20"/>
          <w:lang w:val="en-GB" w:eastAsia="fr-BE"/>
          <w14:ligatures w14:val="none"/>
        </w:rPr>
        <w:t xml:space="preserve">substance </w:t>
      </w:r>
      <w:r>
        <w:rPr>
          <w:rFonts w:ascii="Times New Roman" w:eastAsia="Times New Roman" w:hAnsi="Times New Roman" w:cs="Times New Roman"/>
          <w:kern w:val="0"/>
          <w:sz w:val="24"/>
          <w:szCs w:val="20"/>
          <w:lang w:val="en-GB" w:eastAsia="fr-BE"/>
          <w14:ligatures w14:val="none"/>
        </w:rPr>
        <w:t xml:space="preserve">if it was </w:t>
      </w:r>
      <w:r w:rsidRPr="0055449D">
        <w:rPr>
          <w:rFonts w:ascii="Times New Roman" w:eastAsia="Times New Roman" w:hAnsi="Times New Roman" w:cs="Times New Roman"/>
          <w:kern w:val="0"/>
          <w:sz w:val="24"/>
          <w:szCs w:val="20"/>
          <w:lang w:val="en-GB" w:eastAsia="fr-BE"/>
          <w14:ligatures w14:val="none"/>
        </w:rPr>
        <w:t>extracted from plants or plant parts and which are not chemically modified.</w:t>
      </w:r>
    </w:p>
    <w:p w14:paraId="39C97D7A" w14:textId="1030E2D3" w:rsidR="00B72A76" w:rsidRPr="002C5F5B" w:rsidRDefault="00B72A76" w:rsidP="00B72A76">
      <w:pPr>
        <w:numPr>
          <w:ilvl w:val="0"/>
          <w:numId w:val="1"/>
        </w:numPr>
        <w:spacing w:after="240" w:line="240" w:lineRule="auto"/>
        <w:jc w:val="both"/>
        <w:rPr>
          <w:rFonts w:ascii="Times New Roman" w:eastAsia="Times New Roman" w:hAnsi="Times New Roman" w:cs="Times New Roman"/>
          <w:b/>
          <w:bCs/>
          <w:i/>
          <w:iCs/>
          <w:kern w:val="0"/>
          <w:sz w:val="24"/>
          <w:szCs w:val="20"/>
          <w:lang w:val="en-GB" w:eastAsia="fr-BE"/>
          <w14:ligatures w14:val="none"/>
        </w:rPr>
      </w:pPr>
      <w:r w:rsidRPr="002C5F5B">
        <w:rPr>
          <w:rFonts w:ascii="Times New Roman" w:eastAsia="Times New Roman" w:hAnsi="Times New Roman" w:cs="Times New Roman"/>
          <w:b/>
          <w:bCs/>
          <w:i/>
          <w:iCs/>
          <w:kern w:val="0"/>
          <w:sz w:val="24"/>
          <w:szCs w:val="20"/>
          <w:lang w:val="en-GB" w:eastAsia="fr-BE"/>
          <w14:ligatures w14:val="none"/>
        </w:rPr>
        <w:t xml:space="preserve">Linking </w:t>
      </w:r>
      <w:r w:rsidR="00352B7F">
        <w:rPr>
          <w:rFonts w:ascii="Times New Roman" w:eastAsia="Times New Roman" w:hAnsi="Times New Roman" w:cs="Times New Roman"/>
          <w:b/>
          <w:bCs/>
          <w:i/>
          <w:iCs/>
          <w:kern w:val="0"/>
          <w:sz w:val="24"/>
          <w:szCs w:val="20"/>
          <w:lang w:val="en-GB" w:eastAsia="fr-BE"/>
          <w14:ligatures w14:val="none"/>
        </w:rPr>
        <w:t xml:space="preserve">the </w:t>
      </w:r>
      <w:r w:rsidRPr="002C5F5B">
        <w:rPr>
          <w:rFonts w:ascii="Times New Roman" w:eastAsia="Times New Roman" w:hAnsi="Times New Roman" w:cs="Times New Roman"/>
          <w:b/>
          <w:bCs/>
          <w:i/>
          <w:iCs/>
          <w:kern w:val="0"/>
          <w:sz w:val="24"/>
          <w:szCs w:val="20"/>
          <w:lang w:val="en-GB" w:eastAsia="fr-BE"/>
          <w14:ligatures w14:val="none"/>
        </w:rPr>
        <w:t>ban to substances classified as CMR based specifically on dermal exposure</w:t>
      </w:r>
    </w:p>
    <w:p w14:paraId="7AA7B883" w14:textId="4156F3F6" w:rsidR="0055449D" w:rsidRDefault="0055449D" w:rsidP="0055449D">
      <w:pPr>
        <w:spacing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 xml:space="preserve">Article 15 of the CPR </w:t>
      </w:r>
      <w:r w:rsidR="00521E85">
        <w:rPr>
          <w:rFonts w:ascii="Times New Roman" w:eastAsia="Times New Roman" w:hAnsi="Times New Roman" w:cs="Times New Roman"/>
          <w:kern w:val="0"/>
          <w:sz w:val="24"/>
          <w:szCs w:val="20"/>
          <w:lang w:val="en-GB" w:eastAsia="fr-BE"/>
          <w14:ligatures w14:val="none"/>
        </w:rPr>
        <w:t xml:space="preserve">prohibits substances based on </w:t>
      </w:r>
      <w:r>
        <w:rPr>
          <w:rFonts w:ascii="Times New Roman" w:eastAsia="Times New Roman" w:hAnsi="Times New Roman" w:cs="Times New Roman"/>
          <w:kern w:val="0"/>
          <w:sz w:val="24"/>
          <w:szCs w:val="20"/>
          <w:lang w:val="en-GB" w:eastAsia="fr-BE"/>
          <w14:ligatures w14:val="none"/>
        </w:rPr>
        <w:t xml:space="preserve">the harmonised classification as a CMR category 1A, 1B or 2. However, it does not take account </w:t>
      </w:r>
      <w:r w:rsidR="006855F8">
        <w:rPr>
          <w:rFonts w:ascii="Times New Roman" w:eastAsia="Times New Roman" w:hAnsi="Times New Roman" w:cs="Times New Roman"/>
          <w:kern w:val="0"/>
          <w:sz w:val="24"/>
          <w:szCs w:val="20"/>
          <w:lang w:val="en-GB" w:eastAsia="fr-BE"/>
          <w14:ligatures w14:val="none"/>
        </w:rPr>
        <w:t>the</w:t>
      </w:r>
      <w:r>
        <w:rPr>
          <w:rFonts w:ascii="Times New Roman" w:eastAsia="Times New Roman" w:hAnsi="Times New Roman" w:cs="Times New Roman"/>
          <w:kern w:val="0"/>
          <w:sz w:val="24"/>
          <w:szCs w:val="20"/>
          <w:lang w:val="en-GB" w:eastAsia="fr-BE"/>
          <w14:ligatures w14:val="none"/>
        </w:rPr>
        <w:t xml:space="preserve"> route of exposure this classification</w:t>
      </w:r>
      <w:r w:rsidR="006855F8">
        <w:rPr>
          <w:rFonts w:ascii="Times New Roman" w:eastAsia="Times New Roman" w:hAnsi="Times New Roman" w:cs="Times New Roman"/>
          <w:kern w:val="0"/>
          <w:sz w:val="24"/>
          <w:szCs w:val="20"/>
          <w:lang w:val="en-GB" w:eastAsia="fr-BE"/>
          <w14:ligatures w14:val="none"/>
        </w:rPr>
        <w:t xml:space="preserve"> may have</w:t>
      </w:r>
      <w:r>
        <w:rPr>
          <w:rFonts w:ascii="Times New Roman" w:eastAsia="Times New Roman" w:hAnsi="Times New Roman" w:cs="Times New Roman"/>
          <w:kern w:val="0"/>
          <w:sz w:val="24"/>
          <w:szCs w:val="20"/>
          <w:lang w:val="en-GB" w:eastAsia="fr-BE"/>
          <w14:ligatures w14:val="none"/>
        </w:rPr>
        <w:t>. It could be that a substance has CM</w:t>
      </w:r>
      <w:r w:rsidR="006F2A5A">
        <w:rPr>
          <w:rFonts w:ascii="Times New Roman" w:eastAsia="Times New Roman" w:hAnsi="Times New Roman" w:cs="Times New Roman"/>
          <w:kern w:val="0"/>
          <w:sz w:val="24"/>
          <w:szCs w:val="20"/>
          <w:lang w:val="en-GB" w:eastAsia="fr-BE"/>
          <w14:ligatures w14:val="none"/>
        </w:rPr>
        <w:t>R</w:t>
      </w:r>
      <w:r>
        <w:rPr>
          <w:rFonts w:ascii="Times New Roman" w:eastAsia="Times New Roman" w:hAnsi="Times New Roman" w:cs="Times New Roman"/>
          <w:kern w:val="0"/>
          <w:sz w:val="24"/>
          <w:szCs w:val="20"/>
          <w:lang w:val="en-GB" w:eastAsia="fr-BE"/>
          <w14:ligatures w14:val="none"/>
        </w:rPr>
        <w:t xml:space="preserve"> properties only if it is inhaled or digested, but not if it </w:t>
      </w:r>
      <w:proofErr w:type="gramStart"/>
      <w:r w:rsidR="00521E85">
        <w:rPr>
          <w:rFonts w:ascii="Times New Roman" w:eastAsia="Times New Roman" w:hAnsi="Times New Roman" w:cs="Times New Roman"/>
          <w:kern w:val="0"/>
          <w:sz w:val="24"/>
          <w:szCs w:val="20"/>
          <w:lang w:val="en-GB" w:eastAsia="fr-BE"/>
          <w14:ligatures w14:val="none"/>
        </w:rPr>
        <w:t xml:space="preserve">comes into </w:t>
      </w:r>
      <w:r>
        <w:rPr>
          <w:rFonts w:ascii="Times New Roman" w:eastAsia="Times New Roman" w:hAnsi="Times New Roman" w:cs="Times New Roman"/>
          <w:kern w:val="0"/>
          <w:sz w:val="24"/>
          <w:szCs w:val="20"/>
          <w:lang w:val="en-GB" w:eastAsia="fr-BE"/>
          <w14:ligatures w14:val="none"/>
        </w:rPr>
        <w:t>contact with</w:t>
      </w:r>
      <w:proofErr w:type="gramEnd"/>
      <w:r>
        <w:rPr>
          <w:rFonts w:ascii="Times New Roman" w:eastAsia="Times New Roman" w:hAnsi="Times New Roman" w:cs="Times New Roman"/>
          <w:kern w:val="0"/>
          <w:sz w:val="24"/>
          <w:szCs w:val="20"/>
          <w:lang w:val="en-GB" w:eastAsia="fr-BE"/>
          <w14:ligatures w14:val="none"/>
        </w:rPr>
        <w:t xml:space="preserve"> </w:t>
      </w:r>
      <w:r w:rsidR="00521E85">
        <w:rPr>
          <w:rFonts w:ascii="Times New Roman" w:eastAsia="Times New Roman" w:hAnsi="Times New Roman" w:cs="Times New Roman"/>
          <w:kern w:val="0"/>
          <w:sz w:val="24"/>
          <w:szCs w:val="20"/>
          <w:lang w:val="en-GB" w:eastAsia="fr-BE"/>
          <w14:ligatures w14:val="none"/>
        </w:rPr>
        <w:t xml:space="preserve">the </w:t>
      </w:r>
      <w:r>
        <w:rPr>
          <w:rFonts w:ascii="Times New Roman" w:eastAsia="Times New Roman" w:hAnsi="Times New Roman" w:cs="Times New Roman"/>
          <w:kern w:val="0"/>
          <w:sz w:val="24"/>
          <w:szCs w:val="20"/>
          <w:lang w:val="en-GB" w:eastAsia="fr-BE"/>
          <w14:ligatures w14:val="none"/>
        </w:rPr>
        <w:t xml:space="preserve">human skin. </w:t>
      </w:r>
    </w:p>
    <w:p w14:paraId="5A463C1C" w14:textId="77865BBC" w:rsidR="00106FE0" w:rsidRDefault="00106FE0" w:rsidP="009E68F8">
      <w:pPr>
        <w:spacing w:before="240"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 xml:space="preserve">It could be considered to better articulate the link between the exposure </w:t>
      </w:r>
      <w:r w:rsidR="00136C00">
        <w:rPr>
          <w:rFonts w:ascii="Times New Roman" w:eastAsia="Times New Roman" w:hAnsi="Times New Roman" w:cs="Times New Roman"/>
          <w:kern w:val="0"/>
          <w:sz w:val="24"/>
          <w:szCs w:val="20"/>
          <w:lang w:val="en-GB" w:eastAsia="fr-BE"/>
          <w14:ligatures w14:val="none"/>
        </w:rPr>
        <w:t xml:space="preserve">behind the harmonised classification </w:t>
      </w:r>
      <w:r w:rsidR="00136C00" w:rsidRPr="00136C00">
        <w:rPr>
          <w:rFonts w:ascii="Times New Roman" w:eastAsia="Times New Roman" w:hAnsi="Times New Roman" w:cs="Times New Roman"/>
          <w:kern w:val="0"/>
          <w:sz w:val="24"/>
          <w:szCs w:val="20"/>
          <w:lang w:val="en-GB" w:eastAsia="fr-BE"/>
          <w14:ligatures w14:val="none"/>
        </w:rPr>
        <w:t>as a CMR category 1A, 1B or 2</w:t>
      </w:r>
      <w:r w:rsidR="00136C00">
        <w:rPr>
          <w:rFonts w:ascii="Times New Roman" w:eastAsia="Times New Roman" w:hAnsi="Times New Roman" w:cs="Times New Roman"/>
          <w:kern w:val="0"/>
          <w:sz w:val="24"/>
          <w:szCs w:val="20"/>
          <w:lang w:val="en-GB" w:eastAsia="fr-BE"/>
          <w14:ligatures w14:val="none"/>
        </w:rPr>
        <w:t xml:space="preserve"> and the ban in cosmetics.</w:t>
      </w:r>
    </w:p>
    <w:p w14:paraId="59FCF0DF" w14:textId="77777777" w:rsidR="008C7899" w:rsidRDefault="008C7899" w:rsidP="009E68F8">
      <w:pPr>
        <w:pStyle w:val="ListParagraph"/>
        <w:numPr>
          <w:ilvl w:val="0"/>
          <w:numId w:val="7"/>
        </w:numPr>
        <w:spacing w:before="240" w:after="240"/>
        <w:rPr>
          <w:rFonts w:asciiTheme="majorHAnsi" w:eastAsia="Times New Roman" w:hAnsiTheme="majorHAnsi" w:cstheme="majorBidi"/>
          <w:color w:val="0F4761" w:themeColor="accent1" w:themeShade="BF"/>
          <w:sz w:val="32"/>
          <w:szCs w:val="32"/>
          <w:lang w:val="en-GB" w:eastAsia="fr-BE"/>
        </w:rPr>
      </w:pPr>
      <w:r w:rsidRPr="008C7899">
        <w:rPr>
          <w:rFonts w:asciiTheme="majorHAnsi" w:eastAsia="Times New Roman" w:hAnsiTheme="majorHAnsi" w:cstheme="majorBidi"/>
          <w:color w:val="0F4761" w:themeColor="accent1" w:themeShade="BF"/>
          <w:sz w:val="32"/>
          <w:szCs w:val="32"/>
          <w:lang w:val="en-GB" w:eastAsia="fr-BE"/>
        </w:rPr>
        <w:t>Fostering Innovation and Reducing Regulatory Uncertainty</w:t>
      </w:r>
    </w:p>
    <w:p w14:paraId="50C4B3D4" w14:textId="2872100D" w:rsidR="00106FE0" w:rsidRPr="002C5F5B" w:rsidRDefault="00106FE0" w:rsidP="00106FE0">
      <w:pPr>
        <w:numPr>
          <w:ilvl w:val="2"/>
          <w:numId w:val="3"/>
        </w:numPr>
        <w:spacing w:after="240" w:line="240" w:lineRule="auto"/>
        <w:ind w:left="1440" w:hanging="480"/>
        <w:jc w:val="both"/>
        <w:rPr>
          <w:rFonts w:ascii="Times New Roman" w:eastAsia="Times New Roman" w:hAnsi="Times New Roman" w:cs="Times New Roman"/>
          <w:b/>
          <w:bCs/>
          <w:i/>
          <w:iCs/>
          <w:kern w:val="0"/>
          <w:sz w:val="24"/>
          <w:szCs w:val="20"/>
          <w:lang w:val="en-GB" w:eastAsia="fr-BE"/>
          <w14:ligatures w14:val="none"/>
        </w:rPr>
      </w:pPr>
      <w:r w:rsidRPr="002C5F5B">
        <w:rPr>
          <w:rFonts w:ascii="Times New Roman" w:eastAsia="Times New Roman" w:hAnsi="Times New Roman" w:cs="Times New Roman"/>
          <w:b/>
          <w:bCs/>
          <w:i/>
          <w:iCs/>
          <w:kern w:val="0"/>
          <w:sz w:val="24"/>
          <w:szCs w:val="20"/>
          <w:lang w:val="en-GB" w:eastAsia="fr-BE"/>
          <w14:ligatures w14:val="none"/>
        </w:rPr>
        <w:t xml:space="preserve">A </w:t>
      </w:r>
      <w:r w:rsidR="00716C2B" w:rsidRPr="00716C2B">
        <w:rPr>
          <w:rFonts w:ascii="Times New Roman" w:eastAsia="Times New Roman" w:hAnsi="Times New Roman" w:cs="Times New Roman"/>
          <w:b/>
          <w:bCs/>
          <w:i/>
          <w:iCs/>
          <w:kern w:val="0"/>
          <w:sz w:val="24"/>
          <w:szCs w:val="20"/>
          <w:lang w:val="en-GB" w:eastAsia="fr-BE"/>
          <w14:ligatures w14:val="none"/>
        </w:rPr>
        <w:t xml:space="preserve">comprehensive </w:t>
      </w:r>
      <w:r w:rsidR="00CD2686">
        <w:rPr>
          <w:rFonts w:ascii="Times New Roman" w:eastAsia="Times New Roman" w:hAnsi="Times New Roman" w:cs="Times New Roman"/>
          <w:b/>
          <w:bCs/>
          <w:i/>
          <w:iCs/>
          <w:kern w:val="0"/>
          <w:sz w:val="24"/>
          <w:szCs w:val="20"/>
          <w:lang w:val="en-GB" w:eastAsia="fr-BE"/>
          <w14:ligatures w14:val="none"/>
        </w:rPr>
        <w:t>and</w:t>
      </w:r>
      <w:r w:rsidR="00716C2B" w:rsidRPr="00716C2B">
        <w:rPr>
          <w:rFonts w:ascii="Times New Roman" w:eastAsia="Times New Roman" w:hAnsi="Times New Roman" w:cs="Times New Roman"/>
          <w:b/>
          <w:bCs/>
          <w:i/>
          <w:iCs/>
          <w:kern w:val="0"/>
          <w:sz w:val="24"/>
          <w:szCs w:val="20"/>
          <w:lang w:val="en-GB" w:eastAsia="fr-BE"/>
          <w14:ligatures w14:val="none"/>
        </w:rPr>
        <w:t xml:space="preserve"> clear</w:t>
      </w:r>
      <w:r w:rsidR="00716C2B">
        <w:rPr>
          <w:rFonts w:ascii="Times New Roman" w:eastAsia="Times New Roman" w:hAnsi="Times New Roman" w:cs="Times New Roman"/>
          <w:b/>
          <w:bCs/>
          <w:i/>
          <w:iCs/>
          <w:kern w:val="0"/>
          <w:sz w:val="24"/>
          <w:szCs w:val="20"/>
          <w:lang w:val="en-GB" w:eastAsia="fr-BE"/>
          <w14:ligatures w14:val="none"/>
        </w:rPr>
        <w:t xml:space="preserve"> </w:t>
      </w:r>
      <w:r w:rsidRPr="002C5F5B">
        <w:rPr>
          <w:rFonts w:ascii="Times New Roman" w:eastAsia="Times New Roman" w:hAnsi="Times New Roman" w:cs="Times New Roman"/>
          <w:b/>
          <w:bCs/>
          <w:i/>
          <w:iCs/>
          <w:kern w:val="0"/>
          <w:sz w:val="24"/>
          <w:szCs w:val="20"/>
          <w:lang w:val="en-GB" w:eastAsia="fr-BE"/>
          <w14:ligatures w14:val="none"/>
        </w:rPr>
        <w:t>procedure to facilitate the addition of colorants, preservatives, and UV filters to Annexes IV–VI</w:t>
      </w:r>
    </w:p>
    <w:p w14:paraId="25339B5E" w14:textId="55E61BD1" w:rsidR="00106FE0" w:rsidRDefault="00106FE0" w:rsidP="009E68F8">
      <w:pPr>
        <w:spacing w:before="240"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Currently</w:t>
      </w:r>
      <w:r w:rsidR="001067FD">
        <w:rPr>
          <w:rFonts w:ascii="Times New Roman" w:eastAsia="Times New Roman" w:hAnsi="Times New Roman" w:cs="Times New Roman"/>
          <w:kern w:val="0"/>
          <w:sz w:val="24"/>
          <w:szCs w:val="20"/>
          <w:lang w:val="en-GB" w:eastAsia="fr-BE"/>
          <w14:ligatures w14:val="none"/>
        </w:rPr>
        <w:t>,</w:t>
      </w:r>
      <w:r>
        <w:rPr>
          <w:rFonts w:ascii="Times New Roman" w:eastAsia="Times New Roman" w:hAnsi="Times New Roman" w:cs="Times New Roman"/>
          <w:kern w:val="0"/>
          <w:sz w:val="24"/>
          <w:szCs w:val="20"/>
          <w:lang w:val="en-GB" w:eastAsia="fr-BE"/>
          <w14:ligatures w14:val="none"/>
        </w:rPr>
        <w:t xml:space="preserve"> the procedure laid down in Article 31(2) of the CPR is used to add </w:t>
      </w:r>
      <w:r w:rsidRPr="009E15EE">
        <w:rPr>
          <w:rFonts w:ascii="Times New Roman" w:eastAsia="Times New Roman" w:hAnsi="Times New Roman" w:cs="Times New Roman"/>
          <w:kern w:val="0"/>
          <w:sz w:val="24"/>
          <w:szCs w:val="20"/>
          <w:lang w:val="en-GB" w:eastAsia="fr-BE"/>
          <w14:ligatures w14:val="none"/>
        </w:rPr>
        <w:t xml:space="preserve">colorants, preservatives and UV filters </w:t>
      </w:r>
      <w:r>
        <w:rPr>
          <w:rFonts w:ascii="Times New Roman" w:eastAsia="Times New Roman" w:hAnsi="Times New Roman" w:cs="Times New Roman"/>
          <w:kern w:val="0"/>
          <w:sz w:val="24"/>
          <w:szCs w:val="20"/>
          <w:lang w:val="en-GB" w:eastAsia="fr-BE"/>
          <w14:ligatures w14:val="none"/>
        </w:rPr>
        <w:t>to Annexes IV</w:t>
      </w:r>
      <w:r w:rsidR="00E87725">
        <w:rPr>
          <w:rFonts w:ascii="Times New Roman" w:eastAsia="Times New Roman" w:hAnsi="Times New Roman" w:cs="Times New Roman"/>
          <w:kern w:val="0"/>
          <w:sz w:val="24"/>
          <w:szCs w:val="20"/>
          <w:lang w:val="en-GB" w:eastAsia="fr-BE"/>
          <w14:ligatures w14:val="none"/>
        </w:rPr>
        <w:t xml:space="preserve">, V and </w:t>
      </w:r>
      <w:r>
        <w:rPr>
          <w:rFonts w:ascii="Times New Roman" w:eastAsia="Times New Roman" w:hAnsi="Times New Roman" w:cs="Times New Roman"/>
          <w:kern w:val="0"/>
          <w:sz w:val="24"/>
          <w:szCs w:val="20"/>
          <w:lang w:val="en-GB" w:eastAsia="fr-BE"/>
          <w14:ligatures w14:val="none"/>
        </w:rPr>
        <w:t>VI</w:t>
      </w:r>
      <w:r w:rsidR="00E87725">
        <w:rPr>
          <w:rFonts w:ascii="Times New Roman" w:eastAsia="Times New Roman" w:hAnsi="Times New Roman" w:cs="Times New Roman"/>
          <w:kern w:val="0"/>
          <w:sz w:val="24"/>
          <w:szCs w:val="20"/>
          <w:lang w:val="en-GB" w:eastAsia="fr-BE"/>
          <w14:ligatures w14:val="none"/>
        </w:rPr>
        <w:t>, respectively</w:t>
      </w:r>
      <w:r>
        <w:rPr>
          <w:rFonts w:ascii="Times New Roman" w:eastAsia="Times New Roman" w:hAnsi="Times New Roman" w:cs="Times New Roman"/>
          <w:kern w:val="0"/>
          <w:sz w:val="24"/>
          <w:szCs w:val="20"/>
          <w:lang w:val="en-GB" w:eastAsia="fr-BE"/>
          <w14:ligatures w14:val="none"/>
        </w:rPr>
        <w:t xml:space="preserve">. </w:t>
      </w:r>
      <w:r w:rsidR="000A3749">
        <w:rPr>
          <w:rFonts w:ascii="Times New Roman" w:eastAsia="Times New Roman" w:hAnsi="Times New Roman" w:cs="Times New Roman"/>
          <w:kern w:val="0"/>
          <w:sz w:val="24"/>
          <w:szCs w:val="20"/>
          <w:lang w:val="en-GB" w:eastAsia="fr-BE"/>
          <w14:ligatures w14:val="none"/>
        </w:rPr>
        <w:t xml:space="preserve">However, specific provisions </w:t>
      </w:r>
      <w:r w:rsidR="00EC4B0D">
        <w:rPr>
          <w:rFonts w:ascii="Times New Roman" w:eastAsia="Times New Roman" w:hAnsi="Times New Roman" w:cs="Times New Roman"/>
          <w:kern w:val="0"/>
          <w:sz w:val="24"/>
          <w:szCs w:val="20"/>
          <w:lang w:val="en-GB" w:eastAsia="fr-BE"/>
          <w14:ligatures w14:val="none"/>
        </w:rPr>
        <w:t>laying down</w:t>
      </w:r>
      <w:r w:rsidR="000A3749">
        <w:rPr>
          <w:rFonts w:ascii="Times New Roman" w:eastAsia="Times New Roman" w:hAnsi="Times New Roman" w:cs="Times New Roman"/>
          <w:kern w:val="0"/>
          <w:sz w:val="24"/>
          <w:szCs w:val="20"/>
          <w:lang w:val="en-GB" w:eastAsia="fr-BE"/>
          <w14:ligatures w14:val="none"/>
        </w:rPr>
        <w:t xml:space="preserve"> the procedure for </w:t>
      </w:r>
      <w:r w:rsidR="000A3749" w:rsidRPr="002E41F5">
        <w:rPr>
          <w:rFonts w:ascii="Times New Roman" w:eastAsia="Times New Roman" w:hAnsi="Times New Roman" w:cs="Times New Roman"/>
          <w:kern w:val="0"/>
          <w:sz w:val="24"/>
          <w:szCs w:val="20"/>
          <w:lang w:val="en-GB" w:eastAsia="fr-BE"/>
          <w14:ligatures w14:val="none"/>
        </w:rPr>
        <w:t>the possible inclusion of new colorant</w:t>
      </w:r>
      <w:r w:rsidR="000A3749">
        <w:rPr>
          <w:rFonts w:ascii="Times New Roman" w:eastAsia="Times New Roman" w:hAnsi="Times New Roman" w:cs="Times New Roman"/>
          <w:kern w:val="0"/>
          <w:sz w:val="24"/>
          <w:szCs w:val="20"/>
          <w:lang w:val="en-GB" w:eastAsia="fr-BE"/>
          <w14:ligatures w14:val="none"/>
        </w:rPr>
        <w:t>s</w:t>
      </w:r>
      <w:r w:rsidR="000A3749" w:rsidRPr="002E41F5">
        <w:rPr>
          <w:rFonts w:ascii="Times New Roman" w:eastAsia="Times New Roman" w:hAnsi="Times New Roman" w:cs="Times New Roman"/>
          <w:kern w:val="0"/>
          <w:sz w:val="24"/>
          <w:szCs w:val="20"/>
          <w:lang w:val="en-GB" w:eastAsia="fr-BE"/>
          <w14:ligatures w14:val="none"/>
        </w:rPr>
        <w:t>, preservative</w:t>
      </w:r>
      <w:r w:rsidR="000A3749">
        <w:rPr>
          <w:rFonts w:ascii="Times New Roman" w:eastAsia="Times New Roman" w:hAnsi="Times New Roman" w:cs="Times New Roman"/>
          <w:kern w:val="0"/>
          <w:sz w:val="24"/>
          <w:szCs w:val="20"/>
          <w:lang w:val="en-GB" w:eastAsia="fr-BE"/>
          <w14:ligatures w14:val="none"/>
        </w:rPr>
        <w:t>s</w:t>
      </w:r>
      <w:r w:rsidR="000A3749" w:rsidRPr="002E41F5">
        <w:rPr>
          <w:rFonts w:ascii="Times New Roman" w:eastAsia="Times New Roman" w:hAnsi="Times New Roman" w:cs="Times New Roman"/>
          <w:kern w:val="0"/>
          <w:sz w:val="24"/>
          <w:szCs w:val="20"/>
          <w:lang w:val="en-GB" w:eastAsia="fr-BE"/>
          <w14:ligatures w14:val="none"/>
        </w:rPr>
        <w:t xml:space="preserve"> or UV-filter</w:t>
      </w:r>
      <w:r w:rsidR="000A3749">
        <w:rPr>
          <w:rFonts w:ascii="Times New Roman" w:eastAsia="Times New Roman" w:hAnsi="Times New Roman" w:cs="Times New Roman"/>
          <w:kern w:val="0"/>
          <w:sz w:val="24"/>
          <w:szCs w:val="20"/>
          <w:lang w:val="en-GB" w:eastAsia="fr-BE"/>
          <w14:ligatures w14:val="none"/>
        </w:rPr>
        <w:t>s</w:t>
      </w:r>
      <w:r w:rsidR="000A3749" w:rsidRPr="002E41F5">
        <w:rPr>
          <w:rFonts w:ascii="Times New Roman" w:eastAsia="Times New Roman" w:hAnsi="Times New Roman" w:cs="Times New Roman"/>
          <w:kern w:val="0"/>
          <w:sz w:val="24"/>
          <w:szCs w:val="20"/>
          <w:lang w:val="en-GB" w:eastAsia="fr-BE"/>
          <w14:ligatures w14:val="none"/>
        </w:rPr>
        <w:t xml:space="preserve"> </w:t>
      </w:r>
      <w:r w:rsidR="000A3749">
        <w:rPr>
          <w:rFonts w:ascii="Times New Roman" w:eastAsia="Times New Roman" w:hAnsi="Times New Roman" w:cs="Times New Roman"/>
          <w:kern w:val="0"/>
          <w:sz w:val="24"/>
          <w:szCs w:val="20"/>
          <w:lang w:val="en-GB" w:eastAsia="fr-BE"/>
          <w14:ligatures w14:val="none"/>
        </w:rPr>
        <w:t>in the Annexes to the CPR</w:t>
      </w:r>
      <w:r w:rsidR="00EC4B0D">
        <w:rPr>
          <w:rFonts w:ascii="Times New Roman" w:eastAsia="Times New Roman" w:hAnsi="Times New Roman" w:cs="Times New Roman"/>
          <w:kern w:val="0"/>
          <w:sz w:val="24"/>
          <w:szCs w:val="20"/>
          <w:lang w:val="en-GB" w:eastAsia="fr-BE"/>
          <w14:ligatures w14:val="none"/>
        </w:rPr>
        <w:t xml:space="preserve"> upon </w:t>
      </w:r>
      <w:r w:rsidR="000A3749">
        <w:rPr>
          <w:rFonts w:ascii="Times New Roman" w:eastAsia="Times New Roman" w:hAnsi="Times New Roman" w:cs="Times New Roman"/>
          <w:kern w:val="0"/>
          <w:sz w:val="24"/>
          <w:szCs w:val="20"/>
          <w:lang w:val="en-GB" w:eastAsia="fr-BE"/>
          <w14:ligatures w14:val="none"/>
        </w:rPr>
        <w:t>request from the cosmetics industry, would enhance clarity and legal certainty</w:t>
      </w:r>
      <w:r w:rsidR="00EC4B0D">
        <w:rPr>
          <w:rFonts w:ascii="Times New Roman" w:eastAsia="Times New Roman" w:hAnsi="Times New Roman" w:cs="Times New Roman"/>
          <w:kern w:val="0"/>
          <w:sz w:val="24"/>
          <w:szCs w:val="20"/>
          <w:lang w:val="en-GB" w:eastAsia="fr-BE"/>
          <w14:ligatures w14:val="none"/>
        </w:rPr>
        <w:t xml:space="preserve"> and support innovation and competitiveness on the EU cosmetics sector</w:t>
      </w:r>
      <w:r w:rsidRPr="002E41F5">
        <w:rPr>
          <w:rFonts w:ascii="Times New Roman" w:eastAsia="Times New Roman" w:hAnsi="Times New Roman" w:cs="Times New Roman"/>
          <w:kern w:val="0"/>
          <w:sz w:val="24"/>
          <w:szCs w:val="20"/>
          <w:lang w:val="en-GB" w:eastAsia="fr-BE"/>
          <w14:ligatures w14:val="none"/>
        </w:rPr>
        <w:t xml:space="preserve">. </w:t>
      </w:r>
    </w:p>
    <w:p w14:paraId="08DFC642" w14:textId="3565A4F7" w:rsidR="00136C00" w:rsidRPr="00136C00" w:rsidRDefault="00136C00" w:rsidP="009E68F8">
      <w:pPr>
        <w:pStyle w:val="ListParagraph"/>
        <w:numPr>
          <w:ilvl w:val="0"/>
          <w:numId w:val="7"/>
        </w:numPr>
        <w:spacing w:before="240" w:after="240"/>
        <w:rPr>
          <w:rFonts w:asciiTheme="majorHAnsi" w:eastAsia="Times New Roman" w:hAnsiTheme="majorHAnsi" w:cstheme="majorBidi"/>
          <w:color w:val="0F4761" w:themeColor="accent1" w:themeShade="BF"/>
          <w:sz w:val="32"/>
          <w:szCs w:val="32"/>
          <w:lang w:val="en-GB" w:eastAsia="fr-BE"/>
        </w:rPr>
      </w:pPr>
      <w:r w:rsidRPr="00136C00">
        <w:rPr>
          <w:rFonts w:asciiTheme="majorHAnsi" w:eastAsia="Times New Roman" w:hAnsiTheme="majorHAnsi" w:cstheme="majorBidi"/>
          <w:color w:val="0F4761" w:themeColor="accent1" w:themeShade="BF"/>
          <w:sz w:val="32"/>
          <w:szCs w:val="32"/>
          <w:lang w:val="en-GB" w:eastAsia="fr-BE"/>
        </w:rPr>
        <w:t xml:space="preserve">Streamlining requirements under Article 33 </w:t>
      </w:r>
    </w:p>
    <w:p w14:paraId="0BC58348" w14:textId="77777777" w:rsidR="00136C00" w:rsidRPr="00716C2B" w:rsidRDefault="00136C00" w:rsidP="00136C00">
      <w:pPr>
        <w:numPr>
          <w:ilvl w:val="0"/>
          <w:numId w:val="11"/>
        </w:numPr>
        <w:spacing w:after="240" w:line="240" w:lineRule="auto"/>
        <w:jc w:val="both"/>
        <w:rPr>
          <w:rFonts w:ascii="Times New Roman" w:eastAsia="Times New Roman" w:hAnsi="Times New Roman" w:cs="Times New Roman"/>
          <w:b/>
          <w:bCs/>
          <w:i/>
          <w:iCs/>
          <w:kern w:val="0"/>
          <w:sz w:val="24"/>
          <w:szCs w:val="20"/>
          <w:lang w:val="en-GB" w:eastAsia="fr-BE"/>
          <w14:ligatures w14:val="none"/>
        </w:rPr>
      </w:pPr>
      <w:r w:rsidRPr="00716C2B">
        <w:rPr>
          <w:rFonts w:ascii="Times New Roman" w:eastAsia="Times New Roman" w:hAnsi="Times New Roman" w:cs="Times New Roman"/>
          <w:b/>
          <w:bCs/>
          <w:i/>
          <w:iCs/>
          <w:kern w:val="0"/>
          <w:sz w:val="24"/>
          <w:szCs w:val="20"/>
          <w:lang w:val="en-GB" w:eastAsia="fr-BE"/>
          <w14:ligatures w14:val="none"/>
        </w:rPr>
        <w:tab/>
        <w:t>Eliminating the requirement of the publication of the glossary of cosmetic ingredients in the Official Journal of the EU.</w:t>
      </w:r>
    </w:p>
    <w:p w14:paraId="56B8E76F" w14:textId="329526CB" w:rsidR="00D22DB6" w:rsidRDefault="00D22DB6" w:rsidP="00D22DB6">
      <w:pPr>
        <w:spacing w:after="240" w:line="240" w:lineRule="auto"/>
        <w:jc w:val="both"/>
        <w:rPr>
          <w:rFonts w:ascii="Times New Roman" w:eastAsia="Times New Roman" w:hAnsi="Times New Roman" w:cs="Times New Roman"/>
          <w:kern w:val="0"/>
          <w:sz w:val="24"/>
          <w:szCs w:val="20"/>
          <w:lang w:val="en-GB" w:eastAsia="fr-BE"/>
          <w14:ligatures w14:val="none"/>
        </w:rPr>
      </w:pPr>
      <w:r w:rsidRPr="00D22DB6">
        <w:rPr>
          <w:rFonts w:ascii="Times New Roman" w:eastAsia="Times New Roman" w:hAnsi="Times New Roman" w:cs="Times New Roman"/>
          <w:kern w:val="0"/>
          <w:sz w:val="24"/>
          <w:szCs w:val="20"/>
          <w:lang w:val="en-GB" w:eastAsia="fr-BE"/>
          <w14:ligatures w14:val="none"/>
        </w:rPr>
        <w:t xml:space="preserve">Article 33 of </w:t>
      </w:r>
      <w:r>
        <w:rPr>
          <w:rFonts w:ascii="Times New Roman" w:eastAsia="Times New Roman" w:hAnsi="Times New Roman" w:cs="Times New Roman"/>
          <w:kern w:val="0"/>
          <w:sz w:val="24"/>
          <w:szCs w:val="20"/>
          <w:lang w:val="en-GB" w:eastAsia="fr-BE"/>
          <w14:ligatures w14:val="none"/>
        </w:rPr>
        <w:t xml:space="preserve">the CPR </w:t>
      </w:r>
      <w:r w:rsidRPr="00D22DB6">
        <w:rPr>
          <w:rFonts w:ascii="Times New Roman" w:eastAsia="Times New Roman" w:hAnsi="Times New Roman" w:cs="Times New Roman"/>
          <w:kern w:val="0"/>
          <w:sz w:val="24"/>
          <w:szCs w:val="20"/>
          <w:lang w:val="en-GB" w:eastAsia="fr-BE"/>
          <w14:ligatures w14:val="none"/>
        </w:rPr>
        <w:t xml:space="preserve">provides that for the purpose of labelling cosmetic products placed on the </w:t>
      </w:r>
      <w:r>
        <w:rPr>
          <w:rFonts w:ascii="Times New Roman" w:eastAsia="Times New Roman" w:hAnsi="Times New Roman" w:cs="Times New Roman"/>
          <w:kern w:val="0"/>
          <w:sz w:val="24"/>
          <w:szCs w:val="20"/>
          <w:lang w:val="en-GB" w:eastAsia="fr-BE"/>
          <w14:ligatures w14:val="none"/>
        </w:rPr>
        <w:t xml:space="preserve">EU </w:t>
      </w:r>
      <w:r w:rsidRPr="00D22DB6">
        <w:rPr>
          <w:rFonts w:ascii="Times New Roman" w:eastAsia="Times New Roman" w:hAnsi="Times New Roman" w:cs="Times New Roman"/>
          <w:kern w:val="0"/>
          <w:sz w:val="24"/>
          <w:szCs w:val="20"/>
          <w:lang w:val="en-GB" w:eastAsia="fr-BE"/>
          <w14:ligatures w14:val="none"/>
        </w:rPr>
        <w:t>market</w:t>
      </w:r>
      <w:r>
        <w:rPr>
          <w:rFonts w:ascii="Times New Roman" w:eastAsia="Times New Roman" w:hAnsi="Times New Roman" w:cs="Times New Roman"/>
          <w:kern w:val="0"/>
          <w:sz w:val="24"/>
          <w:szCs w:val="20"/>
          <w:lang w:val="en-GB" w:eastAsia="fr-BE"/>
          <w14:ligatures w14:val="none"/>
        </w:rPr>
        <w:t xml:space="preserve">, </w:t>
      </w:r>
      <w:r w:rsidRPr="00D22DB6">
        <w:rPr>
          <w:rFonts w:ascii="Times New Roman" w:eastAsia="Times New Roman" w:hAnsi="Times New Roman" w:cs="Times New Roman"/>
          <w:kern w:val="0"/>
          <w:sz w:val="24"/>
          <w:szCs w:val="20"/>
          <w:lang w:val="en-GB" w:eastAsia="fr-BE"/>
          <w14:ligatures w14:val="none"/>
        </w:rPr>
        <w:t xml:space="preserve">the </w:t>
      </w:r>
      <w:r>
        <w:rPr>
          <w:rFonts w:ascii="Times New Roman" w:eastAsia="Times New Roman" w:hAnsi="Times New Roman" w:cs="Times New Roman"/>
          <w:kern w:val="0"/>
          <w:sz w:val="24"/>
          <w:szCs w:val="20"/>
          <w:lang w:val="en-GB" w:eastAsia="fr-BE"/>
          <w14:ligatures w14:val="none"/>
        </w:rPr>
        <w:t xml:space="preserve">Commission must compile and update a glossary of </w:t>
      </w:r>
      <w:r w:rsidRPr="00D22DB6">
        <w:rPr>
          <w:rFonts w:ascii="Times New Roman" w:eastAsia="Times New Roman" w:hAnsi="Times New Roman" w:cs="Times New Roman"/>
          <w:kern w:val="0"/>
          <w:sz w:val="24"/>
          <w:szCs w:val="20"/>
          <w:lang w:val="en-GB" w:eastAsia="fr-BE"/>
          <w14:ligatures w14:val="none"/>
        </w:rPr>
        <w:t>common ingredient</w:t>
      </w:r>
      <w:r w:rsidR="00774CD5">
        <w:rPr>
          <w:rFonts w:ascii="Times New Roman" w:eastAsia="Times New Roman" w:hAnsi="Times New Roman" w:cs="Times New Roman"/>
          <w:kern w:val="0"/>
          <w:sz w:val="24"/>
          <w:szCs w:val="20"/>
          <w:lang w:val="en-GB" w:eastAsia="fr-BE"/>
          <w14:ligatures w14:val="none"/>
        </w:rPr>
        <w:t xml:space="preserve"> </w:t>
      </w:r>
      <w:r w:rsidR="00774CD5" w:rsidRPr="00D22DB6">
        <w:rPr>
          <w:rFonts w:ascii="Times New Roman" w:eastAsia="Times New Roman" w:hAnsi="Times New Roman" w:cs="Times New Roman"/>
          <w:kern w:val="0"/>
          <w:sz w:val="24"/>
          <w:szCs w:val="20"/>
          <w:lang w:val="en-GB" w:eastAsia="fr-BE"/>
          <w14:ligatures w14:val="none"/>
        </w:rPr>
        <w:t>names</w:t>
      </w:r>
      <w:r w:rsidR="00774CD5">
        <w:rPr>
          <w:rFonts w:ascii="Times New Roman" w:eastAsia="Times New Roman" w:hAnsi="Times New Roman" w:cs="Times New Roman"/>
          <w:kern w:val="0"/>
          <w:sz w:val="24"/>
          <w:szCs w:val="20"/>
          <w:lang w:val="en-GB" w:eastAsia="fr-BE"/>
          <w14:ligatures w14:val="none"/>
        </w:rPr>
        <w:t xml:space="preserve">, via a Commission Decision, </w:t>
      </w:r>
      <w:proofErr w:type="gramStart"/>
      <w:r>
        <w:rPr>
          <w:rFonts w:ascii="Times New Roman" w:eastAsia="Times New Roman" w:hAnsi="Times New Roman" w:cs="Times New Roman"/>
          <w:kern w:val="0"/>
          <w:sz w:val="24"/>
          <w:szCs w:val="20"/>
          <w:lang w:val="en-GB" w:eastAsia="fr-BE"/>
          <w14:ligatures w14:val="none"/>
        </w:rPr>
        <w:t>taking into account</w:t>
      </w:r>
      <w:proofErr w:type="gramEnd"/>
      <w:r>
        <w:rPr>
          <w:rFonts w:ascii="Times New Roman" w:eastAsia="Times New Roman" w:hAnsi="Times New Roman" w:cs="Times New Roman"/>
          <w:kern w:val="0"/>
          <w:sz w:val="24"/>
          <w:szCs w:val="20"/>
          <w:lang w:val="en-GB" w:eastAsia="fr-BE"/>
          <w14:ligatures w14:val="none"/>
        </w:rPr>
        <w:t xml:space="preserve"> of internationally recognised nomenclature including INCI names. </w:t>
      </w:r>
    </w:p>
    <w:p w14:paraId="2692A96F" w14:textId="11A1916E" w:rsidR="00D22DB6" w:rsidRDefault="00D22DB6" w:rsidP="00D22DB6">
      <w:pPr>
        <w:spacing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 xml:space="preserve">Until now, </w:t>
      </w:r>
      <w:r w:rsidR="00B05E73">
        <w:rPr>
          <w:rFonts w:ascii="Times New Roman" w:eastAsia="Times New Roman" w:hAnsi="Times New Roman" w:cs="Times New Roman"/>
          <w:kern w:val="0"/>
          <w:sz w:val="24"/>
          <w:szCs w:val="20"/>
          <w:lang w:val="en-GB" w:eastAsia="fr-BE"/>
          <w14:ligatures w14:val="none"/>
        </w:rPr>
        <w:t xml:space="preserve">such </w:t>
      </w:r>
      <w:r>
        <w:rPr>
          <w:rFonts w:ascii="Times New Roman" w:eastAsia="Times New Roman" w:hAnsi="Times New Roman" w:cs="Times New Roman"/>
          <w:kern w:val="0"/>
          <w:sz w:val="24"/>
          <w:szCs w:val="20"/>
          <w:lang w:val="en-GB" w:eastAsia="fr-BE"/>
          <w14:ligatures w14:val="none"/>
        </w:rPr>
        <w:t xml:space="preserve">glossaries were published in the Official Journal of the EU in 2029 and 2022. The practice with the updates of the glossary has become </w:t>
      </w:r>
      <w:r w:rsidRPr="00716C2B">
        <w:rPr>
          <w:rFonts w:ascii="Times New Roman" w:eastAsia="Times New Roman" w:hAnsi="Times New Roman" w:cs="Times New Roman"/>
          <w:kern w:val="0"/>
          <w:sz w:val="24"/>
          <w:szCs w:val="20"/>
          <w:lang w:val="en-GB" w:eastAsia="fr-BE"/>
          <w14:ligatures w14:val="none"/>
        </w:rPr>
        <w:t>suboptimal d</w:t>
      </w:r>
      <w:r w:rsidR="00347C26" w:rsidRPr="00716C2B">
        <w:rPr>
          <w:rFonts w:ascii="Times New Roman" w:eastAsia="Times New Roman" w:hAnsi="Times New Roman" w:cs="Times New Roman"/>
          <w:kern w:val="0"/>
          <w:sz w:val="24"/>
          <w:szCs w:val="20"/>
          <w:lang w:val="en-GB" w:eastAsia="fr-BE"/>
          <w14:ligatures w14:val="none"/>
        </w:rPr>
        <w:t>u</w:t>
      </w:r>
      <w:r w:rsidRPr="00716C2B">
        <w:rPr>
          <w:rFonts w:ascii="Times New Roman" w:eastAsia="Times New Roman" w:hAnsi="Times New Roman" w:cs="Times New Roman"/>
          <w:kern w:val="0"/>
          <w:sz w:val="24"/>
          <w:szCs w:val="20"/>
          <w:lang w:val="en-GB" w:eastAsia="fr-BE"/>
          <w14:ligatures w14:val="none"/>
        </w:rPr>
        <w:t>e to the following reasons:</w:t>
      </w:r>
    </w:p>
    <w:p w14:paraId="22E4C05A" w14:textId="468C217D" w:rsidR="00D22DB6" w:rsidRDefault="00D22DB6" w:rsidP="00D22DB6">
      <w:pPr>
        <w:pStyle w:val="ListParagraph"/>
        <w:numPr>
          <w:ilvl w:val="0"/>
          <w:numId w:val="18"/>
        </w:numPr>
        <w:spacing w:after="240" w:line="240" w:lineRule="auto"/>
        <w:jc w:val="both"/>
        <w:rPr>
          <w:rFonts w:ascii="Times New Roman" w:eastAsia="Times New Roman" w:hAnsi="Times New Roman" w:cs="Times New Roman"/>
          <w:kern w:val="0"/>
          <w:sz w:val="24"/>
          <w:szCs w:val="20"/>
          <w:lang w:val="en-GB" w:eastAsia="fr-BE"/>
          <w14:ligatures w14:val="none"/>
        </w:rPr>
      </w:pPr>
      <w:r w:rsidRPr="000F4D07">
        <w:rPr>
          <w:rFonts w:ascii="Times New Roman" w:eastAsia="Times New Roman" w:hAnsi="Times New Roman" w:cs="Times New Roman"/>
          <w:b/>
          <w:bCs/>
          <w:kern w:val="0"/>
          <w:sz w:val="24"/>
          <w:szCs w:val="20"/>
          <w:lang w:val="en-GB" w:eastAsia="fr-BE"/>
          <w14:ligatures w14:val="none"/>
        </w:rPr>
        <w:lastRenderedPageBreak/>
        <w:t>Slow pace of updates</w:t>
      </w:r>
      <w:r>
        <w:rPr>
          <w:rFonts w:ascii="Times New Roman" w:eastAsia="Times New Roman" w:hAnsi="Times New Roman" w:cs="Times New Roman"/>
          <w:kern w:val="0"/>
          <w:sz w:val="24"/>
          <w:szCs w:val="20"/>
          <w:lang w:val="en-GB" w:eastAsia="fr-BE"/>
          <w14:ligatures w14:val="none"/>
        </w:rPr>
        <w:t xml:space="preserve">: </w:t>
      </w:r>
      <w:proofErr w:type="gramStart"/>
      <w:r>
        <w:rPr>
          <w:rFonts w:ascii="Times New Roman" w:eastAsia="Times New Roman" w:hAnsi="Times New Roman" w:cs="Times New Roman"/>
          <w:kern w:val="0"/>
          <w:sz w:val="24"/>
          <w:szCs w:val="20"/>
          <w:lang w:val="en-GB" w:eastAsia="fr-BE"/>
          <w14:ligatures w14:val="none"/>
        </w:rPr>
        <w:t xml:space="preserve">the </w:t>
      </w:r>
      <w:r w:rsidR="00B05E73">
        <w:rPr>
          <w:rFonts w:ascii="Times New Roman" w:eastAsia="Times New Roman" w:hAnsi="Times New Roman" w:cs="Times New Roman"/>
          <w:kern w:val="0"/>
          <w:sz w:val="24"/>
          <w:szCs w:val="20"/>
          <w:lang w:val="en-GB" w:eastAsia="fr-BE"/>
          <w14:ligatures w14:val="none"/>
        </w:rPr>
        <w:t>majority of</w:t>
      </w:r>
      <w:proofErr w:type="gramEnd"/>
      <w:r w:rsidR="00B05E73">
        <w:rPr>
          <w:rFonts w:ascii="Times New Roman" w:eastAsia="Times New Roman" w:hAnsi="Times New Roman" w:cs="Times New Roman"/>
          <w:kern w:val="0"/>
          <w:sz w:val="24"/>
          <w:szCs w:val="20"/>
          <w:lang w:val="en-GB" w:eastAsia="fr-BE"/>
          <w14:ligatures w14:val="none"/>
        </w:rPr>
        <w:t xml:space="preserve"> </w:t>
      </w:r>
      <w:r>
        <w:rPr>
          <w:rFonts w:ascii="Times New Roman" w:eastAsia="Times New Roman" w:hAnsi="Times New Roman" w:cs="Times New Roman"/>
          <w:kern w:val="0"/>
          <w:sz w:val="24"/>
          <w:szCs w:val="20"/>
          <w:lang w:val="en-GB" w:eastAsia="fr-BE"/>
          <w14:ligatures w14:val="none"/>
        </w:rPr>
        <w:t xml:space="preserve">common ingredient names </w:t>
      </w:r>
      <w:r w:rsidR="00B05E73">
        <w:rPr>
          <w:rFonts w:ascii="Times New Roman" w:eastAsia="Times New Roman" w:hAnsi="Times New Roman" w:cs="Times New Roman"/>
          <w:kern w:val="0"/>
          <w:sz w:val="24"/>
          <w:szCs w:val="20"/>
          <w:lang w:val="en-GB" w:eastAsia="fr-BE"/>
          <w14:ligatures w14:val="none"/>
        </w:rPr>
        <w:t xml:space="preserve">used in cosmetics, rely on the </w:t>
      </w:r>
      <w:r w:rsidR="00B05E73" w:rsidRPr="00B05E73">
        <w:rPr>
          <w:rFonts w:ascii="Times New Roman" w:eastAsia="Times New Roman" w:hAnsi="Times New Roman" w:cs="Times New Roman"/>
          <w:kern w:val="0"/>
          <w:sz w:val="24"/>
          <w:szCs w:val="20"/>
          <w:lang w:eastAsia="fr-BE"/>
          <w14:ligatures w14:val="none"/>
        </w:rPr>
        <w:t>International Nomenclature of Cosmetic Ingredients</w:t>
      </w:r>
      <w:r w:rsidR="00B05E73">
        <w:rPr>
          <w:rFonts w:ascii="Times New Roman" w:eastAsia="Times New Roman" w:hAnsi="Times New Roman" w:cs="Times New Roman"/>
          <w:kern w:val="0"/>
          <w:sz w:val="24"/>
          <w:szCs w:val="20"/>
          <w:lang w:eastAsia="fr-BE"/>
          <w14:ligatures w14:val="none"/>
        </w:rPr>
        <w:t xml:space="preserve"> (</w:t>
      </w:r>
      <w:r>
        <w:rPr>
          <w:rFonts w:ascii="Times New Roman" w:eastAsia="Times New Roman" w:hAnsi="Times New Roman" w:cs="Times New Roman"/>
          <w:kern w:val="0"/>
          <w:sz w:val="24"/>
          <w:szCs w:val="20"/>
          <w:lang w:val="en-GB" w:eastAsia="fr-BE"/>
          <w14:ligatures w14:val="none"/>
        </w:rPr>
        <w:t>INCI</w:t>
      </w:r>
      <w:r w:rsidR="00B05E73">
        <w:rPr>
          <w:rFonts w:ascii="Times New Roman" w:eastAsia="Times New Roman" w:hAnsi="Times New Roman" w:cs="Times New Roman"/>
          <w:kern w:val="0"/>
          <w:sz w:val="24"/>
          <w:szCs w:val="20"/>
          <w:lang w:val="en-GB" w:eastAsia="fr-BE"/>
          <w14:ligatures w14:val="none"/>
        </w:rPr>
        <w:t xml:space="preserve">), which are </w:t>
      </w:r>
      <w:r>
        <w:rPr>
          <w:rFonts w:ascii="Times New Roman" w:eastAsia="Times New Roman" w:hAnsi="Times New Roman" w:cs="Times New Roman"/>
          <w:kern w:val="0"/>
          <w:sz w:val="24"/>
          <w:szCs w:val="20"/>
          <w:lang w:val="en-GB" w:eastAsia="fr-BE"/>
          <w14:ligatures w14:val="none"/>
        </w:rPr>
        <w:t xml:space="preserve">developed by the Personal Care Products Council (PCPC). Although, new </w:t>
      </w:r>
      <w:r w:rsidR="00D86D39">
        <w:rPr>
          <w:rFonts w:ascii="Times New Roman" w:eastAsia="Times New Roman" w:hAnsi="Times New Roman" w:cs="Times New Roman"/>
          <w:kern w:val="0"/>
          <w:sz w:val="24"/>
          <w:szCs w:val="20"/>
          <w:lang w:val="en-GB" w:eastAsia="fr-BE"/>
          <w14:ligatures w14:val="none"/>
        </w:rPr>
        <w:t>INCIs are constantly developed or updated</w:t>
      </w:r>
      <w:r>
        <w:rPr>
          <w:rFonts w:ascii="Times New Roman" w:eastAsia="Times New Roman" w:hAnsi="Times New Roman" w:cs="Times New Roman"/>
          <w:kern w:val="0"/>
          <w:sz w:val="24"/>
          <w:szCs w:val="20"/>
          <w:lang w:val="en-GB" w:eastAsia="fr-BE"/>
          <w14:ligatures w14:val="none"/>
        </w:rPr>
        <w:t xml:space="preserve"> </w:t>
      </w:r>
      <w:r w:rsidR="000F4D07">
        <w:rPr>
          <w:rFonts w:ascii="Times New Roman" w:eastAsia="Times New Roman" w:hAnsi="Times New Roman" w:cs="Times New Roman"/>
          <w:kern w:val="0"/>
          <w:sz w:val="24"/>
          <w:szCs w:val="20"/>
          <w:lang w:val="en-GB" w:eastAsia="fr-BE"/>
          <w14:ligatures w14:val="none"/>
        </w:rPr>
        <w:t xml:space="preserve">by the PCPC, the update of </w:t>
      </w:r>
      <w:r w:rsidR="00D86D39">
        <w:rPr>
          <w:rFonts w:ascii="Times New Roman" w:eastAsia="Times New Roman" w:hAnsi="Times New Roman" w:cs="Times New Roman"/>
          <w:kern w:val="0"/>
          <w:sz w:val="24"/>
          <w:szCs w:val="20"/>
          <w:lang w:val="en-GB" w:eastAsia="fr-BE"/>
          <w14:ligatures w14:val="none"/>
        </w:rPr>
        <w:t>EU</w:t>
      </w:r>
      <w:r w:rsidR="000F4D07">
        <w:rPr>
          <w:rFonts w:ascii="Times New Roman" w:eastAsia="Times New Roman" w:hAnsi="Times New Roman" w:cs="Times New Roman"/>
          <w:kern w:val="0"/>
          <w:sz w:val="24"/>
          <w:szCs w:val="20"/>
          <w:lang w:val="en-GB" w:eastAsia="fr-BE"/>
          <w14:ligatures w14:val="none"/>
        </w:rPr>
        <w:t xml:space="preserve"> glossary takes place </w:t>
      </w:r>
      <w:r w:rsidR="00D86D39">
        <w:rPr>
          <w:rFonts w:ascii="Times New Roman" w:eastAsia="Times New Roman" w:hAnsi="Times New Roman" w:cs="Times New Roman"/>
          <w:kern w:val="0"/>
          <w:sz w:val="24"/>
          <w:szCs w:val="20"/>
          <w:lang w:val="en-GB" w:eastAsia="fr-BE"/>
          <w14:ligatures w14:val="none"/>
        </w:rPr>
        <w:t xml:space="preserve">approximately </w:t>
      </w:r>
      <w:r w:rsidR="000F4D07">
        <w:rPr>
          <w:rFonts w:ascii="Times New Roman" w:eastAsia="Times New Roman" w:hAnsi="Times New Roman" w:cs="Times New Roman"/>
          <w:kern w:val="0"/>
          <w:sz w:val="24"/>
          <w:szCs w:val="20"/>
          <w:lang w:val="en-GB" w:eastAsia="fr-BE"/>
          <w14:ligatures w14:val="none"/>
        </w:rPr>
        <w:t>every three years</w:t>
      </w:r>
      <w:r w:rsidR="00D86D39">
        <w:rPr>
          <w:rFonts w:ascii="Times New Roman" w:eastAsia="Times New Roman" w:hAnsi="Times New Roman" w:cs="Times New Roman"/>
          <w:kern w:val="0"/>
          <w:sz w:val="24"/>
          <w:szCs w:val="20"/>
          <w:lang w:val="en-GB" w:eastAsia="fr-BE"/>
          <w14:ligatures w14:val="none"/>
        </w:rPr>
        <w:t>,</w:t>
      </w:r>
      <w:r w:rsidR="000F4D07">
        <w:rPr>
          <w:rFonts w:ascii="Times New Roman" w:eastAsia="Times New Roman" w:hAnsi="Times New Roman" w:cs="Times New Roman"/>
          <w:kern w:val="0"/>
          <w:sz w:val="24"/>
          <w:szCs w:val="20"/>
          <w:lang w:val="en-GB" w:eastAsia="fr-BE"/>
          <w14:ligatures w14:val="none"/>
        </w:rPr>
        <w:t xml:space="preserve"> which </w:t>
      </w:r>
      <w:r w:rsidR="00D86D39">
        <w:rPr>
          <w:rFonts w:ascii="Times New Roman" w:eastAsia="Times New Roman" w:hAnsi="Times New Roman" w:cs="Times New Roman"/>
          <w:kern w:val="0"/>
          <w:sz w:val="24"/>
          <w:szCs w:val="20"/>
          <w:lang w:val="en-GB" w:eastAsia="fr-BE"/>
          <w14:ligatures w14:val="none"/>
        </w:rPr>
        <w:t>results in slower adaptation to</w:t>
      </w:r>
      <w:r w:rsidR="000F4D07">
        <w:rPr>
          <w:rFonts w:ascii="Times New Roman" w:eastAsia="Times New Roman" w:hAnsi="Times New Roman" w:cs="Times New Roman"/>
          <w:kern w:val="0"/>
          <w:sz w:val="24"/>
          <w:szCs w:val="20"/>
          <w:lang w:val="en-GB" w:eastAsia="fr-BE"/>
          <w14:ligatures w14:val="none"/>
        </w:rPr>
        <w:t xml:space="preserve"> technical developments</w:t>
      </w:r>
      <w:r w:rsidR="007F668F">
        <w:rPr>
          <w:rFonts w:ascii="Times New Roman" w:eastAsia="Times New Roman" w:hAnsi="Times New Roman" w:cs="Times New Roman"/>
          <w:kern w:val="0"/>
          <w:sz w:val="24"/>
          <w:szCs w:val="20"/>
          <w:lang w:val="en-GB" w:eastAsia="fr-BE"/>
          <w14:ligatures w14:val="none"/>
        </w:rPr>
        <w:t>.</w:t>
      </w:r>
    </w:p>
    <w:p w14:paraId="14E64249" w14:textId="20EB6349" w:rsidR="000F4D07" w:rsidRDefault="00774CD5" w:rsidP="00D22DB6">
      <w:pPr>
        <w:pStyle w:val="ListParagraph"/>
        <w:numPr>
          <w:ilvl w:val="0"/>
          <w:numId w:val="18"/>
        </w:numPr>
        <w:spacing w:after="240" w:line="240" w:lineRule="auto"/>
        <w:jc w:val="both"/>
        <w:rPr>
          <w:rFonts w:ascii="Times New Roman" w:eastAsia="Times New Roman" w:hAnsi="Times New Roman" w:cs="Times New Roman"/>
          <w:kern w:val="0"/>
          <w:sz w:val="24"/>
          <w:szCs w:val="20"/>
          <w:lang w:eastAsia="fr-BE"/>
          <w14:ligatures w14:val="none"/>
        </w:rPr>
      </w:pPr>
      <w:r>
        <w:rPr>
          <w:rFonts w:ascii="Times New Roman" w:eastAsia="Times New Roman" w:hAnsi="Times New Roman" w:cs="Times New Roman"/>
          <w:b/>
          <w:bCs/>
          <w:kern w:val="0"/>
          <w:sz w:val="24"/>
          <w:szCs w:val="20"/>
          <w:lang w:eastAsia="fr-BE"/>
          <w14:ligatures w14:val="none"/>
        </w:rPr>
        <w:t>additional</w:t>
      </w:r>
      <w:r w:rsidRPr="003F4725">
        <w:rPr>
          <w:rFonts w:ascii="Times New Roman" w:eastAsia="Times New Roman" w:hAnsi="Times New Roman" w:cs="Times New Roman"/>
          <w:b/>
          <w:bCs/>
          <w:kern w:val="0"/>
          <w:sz w:val="24"/>
          <w:szCs w:val="20"/>
          <w:lang w:eastAsia="fr-BE"/>
          <w14:ligatures w14:val="none"/>
        </w:rPr>
        <w:t xml:space="preserve"> </w:t>
      </w:r>
      <w:r w:rsidR="000F4D07" w:rsidRPr="003F4725">
        <w:rPr>
          <w:rFonts w:ascii="Times New Roman" w:eastAsia="Times New Roman" w:hAnsi="Times New Roman" w:cs="Times New Roman"/>
          <w:b/>
          <w:bCs/>
          <w:kern w:val="0"/>
          <w:sz w:val="24"/>
          <w:szCs w:val="20"/>
          <w:lang w:eastAsia="fr-BE"/>
          <w14:ligatures w14:val="none"/>
        </w:rPr>
        <w:t>burden</w:t>
      </w:r>
      <w:r>
        <w:rPr>
          <w:rFonts w:ascii="Times New Roman" w:eastAsia="Times New Roman" w:hAnsi="Times New Roman" w:cs="Times New Roman"/>
          <w:b/>
          <w:bCs/>
          <w:kern w:val="0"/>
          <w:sz w:val="24"/>
          <w:szCs w:val="20"/>
          <w:lang w:eastAsia="fr-BE"/>
          <w14:ligatures w14:val="none"/>
        </w:rPr>
        <w:t xml:space="preserve"> (duplication of work)</w:t>
      </w:r>
      <w:r w:rsidR="000F4D07" w:rsidRPr="003F4725">
        <w:rPr>
          <w:rFonts w:ascii="Times New Roman" w:eastAsia="Times New Roman" w:hAnsi="Times New Roman" w:cs="Times New Roman"/>
          <w:b/>
          <w:bCs/>
          <w:kern w:val="0"/>
          <w:sz w:val="24"/>
          <w:szCs w:val="20"/>
          <w:lang w:eastAsia="fr-BE"/>
          <w14:ligatures w14:val="none"/>
        </w:rPr>
        <w:t xml:space="preserve"> on competent authorities and business</w:t>
      </w:r>
      <w:r w:rsidR="000F4D07">
        <w:rPr>
          <w:rFonts w:ascii="Times New Roman" w:eastAsia="Times New Roman" w:hAnsi="Times New Roman" w:cs="Times New Roman"/>
          <w:kern w:val="0"/>
          <w:sz w:val="24"/>
          <w:szCs w:val="20"/>
          <w:lang w:eastAsia="fr-BE"/>
          <w14:ligatures w14:val="none"/>
        </w:rPr>
        <w:t xml:space="preserve">: </w:t>
      </w:r>
      <w:r>
        <w:rPr>
          <w:rFonts w:ascii="Times New Roman" w:eastAsia="Times New Roman" w:hAnsi="Times New Roman" w:cs="Times New Roman"/>
          <w:kern w:val="0"/>
          <w:sz w:val="24"/>
          <w:szCs w:val="20"/>
          <w:lang w:eastAsia="fr-BE"/>
          <w14:ligatures w14:val="none"/>
        </w:rPr>
        <w:t>Given the</w:t>
      </w:r>
      <w:r w:rsidR="000F4D07">
        <w:rPr>
          <w:rFonts w:ascii="Times New Roman" w:eastAsia="Times New Roman" w:hAnsi="Times New Roman" w:cs="Times New Roman"/>
          <w:kern w:val="0"/>
          <w:sz w:val="24"/>
          <w:szCs w:val="20"/>
          <w:lang w:eastAsia="fr-BE"/>
          <w14:ligatures w14:val="none"/>
        </w:rPr>
        <w:t xml:space="preserve"> legal value of the Commission Decision </w:t>
      </w:r>
      <w:r>
        <w:rPr>
          <w:rFonts w:ascii="Times New Roman" w:eastAsia="Times New Roman" w:hAnsi="Times New Roman" w:cs="Times New Roman"/>
          <w:kern w:val="0"/>
          <w:sz w:val="24"/>
          <w:szCs w:val="20"/>
          <w:lang w:eastAsia="fr-BE"/>
          <w14:ligatures w14:val="none"/>
        </w:rPr>
        <w:t>establishing the list of</w:t>
      </w:r>
      <w:r w:rsidR="000F4D07">
        <w:rPr>
          <w:rFonts w:ascii="Times New Roman" w:eastAsia="Times New Roman" w:hAnsi="Times New Roman" w:cs="Times New Roman"/>
          <w:kern w:val="0"/>
          <w:sz w:val="24"/>
          <w:szCs w:val="20"/>
          <w:lang w:eastAsia="fr-BE"/>
          <w14:ligatures w14:val="none"/>
        </w:rPr>
        <w:t xml:space="preserve"> common ingredients names, </w:t>
      </w:r>
      <w:r>
        <w:rPr>
          <w:rFonts w:ascii="Times New Roman" w:eastAsia="Times New Roman" w:hAnsi="Times New Roman" w:cs="Times New Roman"/>
          <w:kern w:val="0"/>
          <w:sz w:val="24"/>
          <w:szCs w:val="20"/>
          <w:lang w:eastAsia="fr-BE"/>
          <w14:ligatures w14:val="none"/>
        </w:rPr>
        <w:t xml:space="preserve">both </w:t>
      </w:r>
      <w:r w:rsidR="000F4D07">
        <w:rPr>
          <w:rFonts w:ascii="Times New Roman" w:eastAsia="Times New Roman" w:hAnsi="Times New Roman" w:cs="Times New Roman"/>
          <w:kern w:val="0"/>
          <w:sz w:val="24"/>
          <w:szCs w:val="20"/>
          <w:lang w:eastAsia="fr-BE"/>
          <w14:ligatures w14:val="none"/>
        </w:rPr>
        <w:t xml:space="preserve">the market surveillance authorities and business operators </w:t>
      </w:r>
      <w:r>
        <w:rPr>
          <w:rFonts w:ascii="Times New Roman" w:eastAsia="Times New Roman" w:hAnsi="Times New Roman" w:cs="Times New Roman"/>
          <w:kern w:val="0"/>
          <w:sz w:val="24"/>
          <w:szCs w:val="20"/>
          <w:lang w:eastAsia="fr-BE"/>
          <w14:ligatures w14:val="none"/>
        </w:rPr>
        <w:t xml:space="preserve">verify </w:t>
      </w:r>
      <w:r w:rsidR="000F4D07">
        <w:rPr>
          <w:rFonts w:ascii="Times New Roman" w:eastAsia="Times New Roman" w:hAnsi="Times New Roman" w:cs="Times New Roman"/>
          <w:kern w:val="0"/>
          <w:sz w:val="24"/>
          <w:szCs w:val="20"/>
          <w:lang w:eastAsia="fr-BE"/>
          <w14:ligatures w14:val="none"/>
        </w:rPr>
        <w:t xml:space="preserve">that the </w:t>
      </w:r>
      <w:r>
        <w:rPr>
          <w:rFonts w:ascii="Times New Roman" w:eastAsia="Times New Roman" w:hAnsi="Times New Roman" w:cs="Times New Roman"/>
          <w:kern w:val="0"/>
          <w:sz w:val="24"/>
          <w:szCs w:val="20"/>
          <w:lang w:eastAsia="fr-BE"/>
          <w14:ligatures w14:val="none"/>
        </w:rPr>
        <w:t xml:space="preserve">ingredient </w:t>
      </w:r>
      <w:r w:rsidR="000F4D07">
        <w:rPr>
          <w:rFonts w:ascii="Times New Roman" w:eastAsia="Times New Roman" w:hAnsi="Times New Roman" w:cs="Times New Roman"/>
          <w:kern w:val="0"/>
          <w:sz w:val="24"/>
          <w:szCs w:val="20"/>
          <w:lang w:eastAsia="fr-BE"/>
          <w14:ligatures w14:val="none"/>
        </w:rPr>
        <w:t>name</w:t>
      </w:r>
      <w:r>
        <w:rPr>
          <w:rFonts w:ascii="Times New Roman" w:eastAsia="Times New Roman" w:hAnsi="Times New Roman" w:cs="Times New Roman"/>
          <w:kern w:val="0"/>
          <w:sz w:val="24"/>
          <w:szCs w:val="20"/>
          <w:lang w:eastAsia="fr-BE"/>
          <w14:ligatures w14:val="none"/>
        </w:rPr>
        <w:t>s</w:t>
      </w:r>
      <w:r w:rsidR="000F4D07">
        <w:rPr>
          <w:rFonts w:ascii="Times New Roman" w:eastAsia="Times New Roman" w:hAnsi="Times New Roman" w:cs="Times New Roman"/>
          <w:kern w:val="0"/>
          <w:sz w:val="24"/>
          <w:szCs w:val="20"/>
          <w:lang w:eastAsia="fr-BE"/>
          <w14:ligatures w14:val="none"/>
        </w:rPr>
        <w:t xml:space="preserve"> </w:t>
      </w:r>
      <w:r>
        <w:rPr>
          <w:rFonts w:ascii="Times New Roman" w:eastAsia="Times New Roman" w:hAnsi="Times New Roman" w:cs="Times New Roman"/>
          <w:kern w:val="0"/>
          <w:sz w:val="24"/>
          <w:szCs w:val="20"/>
          <w:lang w:eastAsia="fr-BE"/>
          <w14:ligatures w14:val="none"/>
        </w:rPr>
        <w:t>used on product labels correspond to those listed in the Decision. To streamline</w:t>
      </w:r>
      <w:r w:rsidR="000F4D07">
        <w:rPr>
          <w:rFonts w:ascii="Times New Roman" w:eastAsia="Times New Roman" w:hAnsi="Times New Roman" w:cs="Times New Roman"/>
          <w:kern w:val="0"/>
          <w:sz w:val="24"/>
          <w:szCs w:val="20"/>
          <w:lang w:eastAsia="fr-BE"/>
          <w14:ligatures w14:val="none"/>
        </w:rPr>
        <w:t xml:space="preserve"> </w:t>
      </w:r>
      <w:r>
        <w:rPr>
          <w:rFonts w:ascii="Times New Roman" w:eastAsia="Times New Roman" w:hAnsi="Times New Roman" w:cs="Times New Roman"/>
          <w:kern w:val="0"/>
          <w:sz w:val="24"/>
          <w:szCs w:val="20"/>
          <w:lang w:eastAsia="fr-BE"/>
          <w14:ligatures w14:val="none"/>
        </w:rPr>
        <w:t xml:space="preserve">this process, the </w:t>
      </w:r>
      <w:r w:rsidR="000F4D07">
        <w:rPr>
          <w:rFonts w:ascii="Times New Roman" w:eastAsia="Times New Roman" w:hAnsi="Times New Roman" w:cs="Times New Roman"/>
          <w:kern w:val="0"/>
          <w:sz w:val="24"/>
          <w:szCs w:val="20"/>
          <w:lang w:eastAsia="fr-BE"/>
          <w14:ligatures w14:val="none"/>
        </w:rPr>
        <w:t xml:space="preserve">CosIng </w:t>
      </w:r>
      <w:r>
        <w:rPr>
          <w:rFonts w:ascii="Times New Roman" w:eastAsia="Times New Roman" w:hAnsi="Times New Roman" w:cs="Times New Roman"/>
          <w:kern w:val="0"/>
          <w:sz w:val="24"/>
          <w:szCs w:val="20"/>
          <w:lang w:eastAsia="fr-BE"/>
          <w14:ligatures w14:val="none"/>
        </w:rPr>
        <w:t>database is often used as a first step t</w:t>
      </w:r>
      <w:r w:rsidR="00716C2B">
        <w:rPr>
          <w:rFonts w:ascii="Times New Roman" w:eastAsia="Times New Roman" w:hAnsi="Times New Roman" w:cs="Times New Roman"/>
          <w:kern w:val="0"/>
          <w:sz w:val="24"/>
          <w:szCs w:val="20"/>
          <w:lang w:eastAsia="fr-BE"/>
          <w14:ligatures w14:val="none"/>
        </w:rPr>
        <w:t>o</w:t>
      </w:r>
      <w:r>
        <w:rPr>
          <w:rFonts w:ascii="Times New Roman" w:eastAsia="Times New Roman" w:hAnsi="Times New Roman" w:cs="Times New Roman"/>
          <w:kern w:val="0"/>
          <w:sz w:val="24"/>
          <w:szCs w:val="20"/>
          <w:lang w:eastAsia="fr-BE"/>
          <w14:ligatures w14:val="none"/>
        </w:rPr>
        <w:t xml:space="preserve"> quickly identify the correct name, which is then cross-checked against the official entry in the </w:t>
      </w:r>
      <w:r w:rsidR="003F4725">
        <w:rPr>
          <w:rFonts w:ascii="Times New Roman" w:eastAsia="Times New Roman" w:hAnsi="Times New Roman" w:cs="Times New Roman"/>
          <w:kern w:val="0"/>
          <w:sz w:val="24"/>
          <w:szCs w:val="20"/>
          <w:lang w:eastAsia="fr-BE"/>
          <w14:ligatures w14:val="none"/>
        </w:rPr>
        <w:t xml:space="preserve">Commission Decision. </w:t>
      </w:r>
      <w:r w:rsidR="000F4D07">
        <w:rPr>
          <w:rFonts w:ascii="Times New Roman" w:eastAsia="Times New Roman" w:hAnsi="Times New Roman" w:cs="Times New Roman"/>
          <w:kern w:val="0"/>
          <w:sz w:val="24"/>
          <w:szCs w:val="20"/>
          <w:lang w:eastAsia="fr-BE"/>
          <w14:ligatures w14:val="none"/>
        </w:rPr>
        <w:t xml:space="preserve"> </w:t>
      </w:r>
    </w:p>
    <w:p w14:paraId="59B0891B" w14:textId="77C614B0" w:rsidR="00CD3359" w:rsidRDefault="003F4725" w:rsidP="003F4725">
      <w:pPr>
        <w:spacing w:after="240" w:line="240" w:lineRule="auto"/>
        <w:jc w:val="both"/>
        <w:rPr>
          <w:rFonts w:ascii="Times New Roman" w:eastAsia="Times New Roman" w:hAnsi="Times New Roman" w:cs="Times New Roman"/>
          <w:kern w:val="0"/>
          <w:sz w:val="24"/>
          <w:szCs w:val="20"/>
          <w:lang w:eastAsia="fr-BE"/>
          <w14:ligatures w14:val="none"/>
        </w:rPr>
      </w:pPr>
      <w:r>
        <w:rPr>
          <w:rFonts w:ascii="Times New Roman" w:eastAsia="Times New Roman" w:hAnsi="Times New Roman" w:cs="Times New Roman"/>
          <w:kern w:val="0"/>
          <w:sz w:val="24"/>
          <w:szCs w:val="20"/>
          <w:lang w:eastAsia="fr-BE"/>
          <w14:ligatures w14:val="none"/>
        </w:rPr>
        <w:t xml:space="preserve">The current </w:t>
      </w:r>
      <w:r w:rsidR="00CD3359">
        <w:rPr>
          <w:rFonts w:ascii="Times New Roman" w:eastAsia="Times New Roman" w:hAnsi="Times New Roman" w:cs="Times New Roman"/>
          <w:kern w:val="0"/>
          <w:sz w:val="24"/>
          <w:szCs w:val="20"/>
          <w:lang w:eastAsia="fr-BE"/>
          <w14:ligatures w14:val="none"/>
        </w:rPr>
        <w:t xml:space="preserve">scheme </w:t>
      </w:r>
      <w:r>
        <w:rPr>
          <w:rFonts w:ascii="Times New Roman" w:eastAsia="Times New Roman" w:hAnsi="Times New Roman" w:cs="Times New Roman"/>
          <w:kern w:val="0"/>
          <w:sz w:val="24"/>
          <w:szCs w:val="20"/>
          <w:lang w:eastAsia="fr-BE"/>
          <w14:ligatures w14:val="none"/>
        </w:rPr>
        <w:t xml:space="preserve">leads to </w:t>
      </w:r>
      <w:r w:rsidR="00910F00">
        <w:rPr>
          <w:rFonts w:ascii="Times New Roman" w:eastAsia="Times New Roman" w:hAnsi="Times New Roman" w:cs="Times New Roman"/>
          <w:kern w:val="0"/>
          <w:sz w:val="24"/>
          <w:szCs w:val="20"/>
          <w:lang w:eastAsia="fr-BE"/>
          <w14:ligatures w14:val="none"/>
        </w:rPr>
        <w:t xml:space="preserve">additional work </w:t>
      </w:r>
      <w:r>
        <w:rPr>
          <w:rFonts w:ascii="Times New Roman" w:eastAsia="Times New Roman" w:hAnsi="Times New Roman" w:cs="Times New Roman"/>
          <w:kern w:val="0"/>
          <w:sz w:val="24"/>
          <w:szCs w:val="20"/>
          <w:lang w:eastAsia="fr-BE"/>
          <w14:ligatures w14:val="none"/>
        </w:rPr>
        <w:t xml:space="preserve">and </w:t>
      </w:r>
      <w:r w:rsidR="00910F00">
        <w:rPr>
          <w:rFonts w:ascii="Times New Roman" w:eastAsia="Times New Roman" w:hAnsi="Times New Roman" w:cs="Times New Roman"/>
          <w:kern w:val="0"/>
          <w:sz w:val="24"/>
          <w:szCs w:val="20"/>
          <w:lang w:eastAsia="fr-BE"/>
          <w14:ligatures w14:val="none"/>
        </w:rPr>
        <w:t xml:space="preserve">unnecessary </w:t>
      </w:r>
      <w:r>
        <w:rPr>
          <w:rFonts w:ascii="Times New Roman" w:eastAsia="Times New Roman" w:hAnsi="Times New Roman" w:cs="Times New Roman"/>
          <w:kern w:val="0"/>
          <w:sz w:val="24"/>
          <w:szCs w:val="20"/>
          <w:lang w:eastAsia="fr-BE"/>
          <w14:ligatures w14:val="none"/>
        </w:rPr>
        <w:t xml:space="preserve">burden. </w:t>
      </w:r>
    </w:p>
    <w:p w14:paraId="43A00D10" w14:textId="7EC4A9BC" w:rsidR="003F4725" w:rsidRDefault="00910F00" w:rsidP="003F4725">
      <w:pPr>
        <w:spacing w:after="240" w:line="240" w:lineRule="auto"/>
        <w:jc w:val="both"/>
        <w:rPr>
          <w:rFonts w:ascii="Times New Roman" w:eastAsia="Times New Roman" w:hAnsi="Times New Roman" w:cs="Times New Roman"/>
          <w:kern w:val="0"/>
          <w:sz w:val="24"/>
          <w:szCs w:val="20"/>
          <w:lang w:eastAsia="fr-BE"/>
          <w14:ligatures w14:val="none"/>
        </w:rPr>
      </w:pPr>
      <w:r>
        <w:rPr>
          <w:rFonts w:ascii="Times New Roman" w:eastAsia="Times New Roman" w:hAnsi="Times New Roman" w:cs="Times New Roman"/>
          <w:kern w:val="0"/>
          <w:sz w:val="24"/>
          <w:szCs w:val="20"/>
          <w:lang w:eastAsia="fr-BE"/>
          <w14:ligatures w14:val="none"/>
        </w:rPr>
        <w:t xml:space="preserve">A </w:t>
      </w:r>
      <w:r w:rsidR="003F4725">
        <w:rPr>
          <w:rFonts w:ascii="Times New Roman" w:eastAsia="Times New Roman" w:hAnsi="Times New Roman" w:cs="Times New Roman"/>
          <w:kern w:val="0"/>
          <w:sz w:val="24"/>
          <w:szCs w:val="20"/>
          <w:lang w:eastAsia="fr-BE"/>
          <w14:ligatures w14:val="none"/>
        </w:rPr>
        <w:t xml:space="preserve">solution could be to remove the obligation to compile the glossary and enable businesses and competent authorities to rely on </w:t>
      </w:r>
      <w:r>
        <w:rPr>
          <w:rFonts w:ascii="Times New Roman" w:eastAsia="Times New Roman" w:hAnsi="Times New Roman" w:cs="Times New Roman"/>
          <w:kern w:val="0"/>
          <w:sz w:val="24"/>
          <w:szCs w:val="20"/>
          <w:lang w:eastAsia="fr-BE"/>
          <w14:ligatures w14:val="none"/>
        </w:rPr>
        <w:t xml:space="preserve">the </w:t>
      </w:r>
      <w:r w:rsidR="007F668F" w:rsidRPr="007F668F">
        <w:rPr>
          <w:rFonts w:ascii="Times New Roman" w:eastAsia="Times New Roman" w:hAnsi="Times New Roman" w:cs="Times New Roman"/>
          <w:kern w:val="0"/>
          <w:sz w:val="24"/>
          <w:szCs w:val="20"/>
          <w:lang w:eastAsia="fr-BE"/>
          <w14:ligatures w14:val="none"/>
        </w:rPr>
        <w:t>internationally recognised nomenclature</w:t>
      </w:r>
      <w:r w:rsidR="003F4725">
        <w:rPr>
          <w:rFonts w:ascii="Times New Roman" w:eastAsia="Times New Roman" w:hAnsi="Times New Roman" w:cs="Times New Roman"/>
          <w:kern w:val="0"/>
          <w:sz w:val="24"/>
          <w:szCs w:val="20"/>
          <w:lang w:eastAsia="fr-BE"/>
          <w14:ligatures w14:val="none"/>
        </w:rPr>
        <w:t xml:space="preserve"> </w:t>
      </w:r>
      <w:r w:rsidR="007F668F">
        <w:rPr>
          <w:rFonts w:ascii="Times New Roman" w:eastAsia="Times New Roman" w:hAnsi="Times New Roman" w:cs="Times New Roman"/>
          <w:kern w:val="0"/>
          <w:sz w:val="24"/>
          <w:szCs w:val="20"/>
          <w:lang w:eastAsia="fr-BE"/>
          <w14:ligatures w14:val="none"/>
        </w:rPr>
        <w:t xml:space="preserve">and </w:t>
      </w:r>
      <w:r>
        <w:rPr>
          <w:rFonts w:ascii="Times New Roman" w:eastAsia="Times New Roman" w:hAnsi="Times New Roman" w:cs="Times New Roman"/>
          <w:kern w:val="0"/>
          <w:sz w:val="24"/>
          <w:szCs w:val="20"/>
          <w:lang w:eastAsia="fr-BE"/>
          <w14:ligatures w14:val="none"/>
        </w:rPr>
        <w:t xml:space="preserve">relevant </w:t>
      </w:r>
      <w:r w:rsidR="007F668F">
        <w:rPr>
          <w:rFonts w:ascii="Times New Roman" w:eastAsia="Times New Roman" w:hAnsi="Times New Roman" w:cs="Times New Roman"/>
          <w:kern w:val="0"/>
          <w:sz w:val="24"/>
          <w:szCs w:val="20"/>
          <w:lang w:eastAsia="fr-BE"/>
          <w14:ligatures w14:val="none"/>
        </w:rPr>
        <w:t xml:space="preserve">information provided </w:t>
      </w:r>
      <w:r>
        <w:rPr>
          <w:rFonts w:ascii="Times New Roman" w:eastAsia="Times New Roman" w:hAnsi="Times New Roman" w:cs="Times New Roman"/>
          <w:kern w:val="0"/>
          <w:sz w:val="24"/>
          <w:szCs w:val="20"/>
          <w:lang w:eastAsia="fr-BE"/>
          <w14:ligatures w14:val="none"/>
        </w:rPr>
        <w:t>electronically in a Commission database</w:t>
      </w:r>
      <w:r w:rsidR="00716C2B">
        <w:rPr>
          <w:rStyle w:val="FootnoteReference"/>
          <w:rFonts w:ascii="Times New Roman" w:eastAsia="Times New Roman" w:hAnsi="Times New Roman" w:cs="Times New Roman"/>
          <w:kern w:val="0"/>
          <w:sz w:val="24"/>
          <w:szCs w:val="20"/>
          <w:lang w:eastAsia="fr-BE"/>
          <w14:ligatures w14:val="none"/>
        </w:rPr>
        <w:footnoteReference w:id="3"/>
      </w:r>
      <w:r w:rsidR="007F668F">
        <w:rPr>
          <w:rFonts w:ascii="Times New Roman" w:eastAsia="Times New Roman" w:hAnsi="Times New Roman" w:cs="Times New Roman"/>
          <w:kern w:val="0"/>
          <w:sz w:val="24"/>
          <w:szCs w:val="20"/>
          <w:lang w:eastAsia="fr-BE"/>
          <w14:ligatures w14:val="none"/>
        </w:rPr>
        <w:t>.</w:t>
      </w:r>
    </w:p>
    <w:tbl>
      <w:tblPr>
        <w:tblStyle w:val="TableGrid"/>
        <w:tblW w:w="0" w:type="auto"/>
        <w:tblLook w:val="04A0" w:firstRow="1" w:lastRow="0" w:firstColumn="1" w:lastColumn="0" w:noHBand="0" w:noVBand="1"/>
      </w:tblPr>
      <w:tblGrid>
        <w:gridCol w:w="9016"/>
      </w:tblGrid>
      <w:tr w:rsidR="00106FE0" w14:paraId="520717BB" w14:textId="77777777" w:rsidTr="00106FE0">
        <w:tc>
          <w:tcPr>
            <w:tcW w:w="9242" w:type="dxa"/>
          </w:tcPr>
          <w:p w14:paraId="445AAA52" w14:textId="77777777" w:rsidR="00106FE0" w:rsidRPr="008C7899" w:rsidRDefault="00106FE0" w:rsidP="00106FE0">
            <w:pPr>
              <w:spacing w:after="240"/>
              <w:jc w:val="both"/>
              <w:rPr>
                <w:rFonts w:ascii="Times New Roman" w:eastAsia="Times New Roman" w:hAnsi="Times New Roman" w:cs="Times New Roman"/>
                <w:b/>
                <w:bCs/>
                <w:color w:val="215E99" w:themeColor="text2" w:themeTint="BF"/>
                <w:kern w:val="0"/>
                <w:sz w:val="36"/>
                <w:szCs w:val="36"/>
                <w:lang w:val="en-GB" w:eastAsia="fr-BE"/>
                <w14:ligatures w14:val="none"/>
              </w:rPr>
            </w:pPr>
            <w:r w:rsidRPr="008C7899">
              <w:rPr>
                <w:rFonts w:ascii="Times New Roman" w:eastAsia="Times New Roman" w:hAnsi="Times New Roman" w:cs="Times New Roman"/>
                <w:b/>
                <w:bCs/>
                <w:color w:val="215E99" w:themeColor="text2" w:themeTint="BF"/>
                <w:kern w:val="0"/>
                <w:sz w:val="36"/>
                <w:szCs w:val="36"/>
                <w:lang w:val="en-GB" w:eastAsia="fr-BE"/>
                <w14:ligatures w14:val="none"/>
              </w:rPr>
              <w:t>Questions for consideration:</w:t>
            </w:r>
          </w:p>
          <w:p w14:paraId="6544E2DB" w14:textId="77777777" w:rsidR="00106FE0" w:rsidRPr="00106FE0" w:rsidRDefault="00106FE0" w:rsidP="00106FE0">
            <w:pPr>
              <w:pStyle w:val="ListParagraph"/>
              <w:numPr>
                <w:ilvl w:val="0"/>
                <w:numId w:val="15"/>
              </w:numPr>
              <w:spacing w:after="240"/>
              <w:jc w:val="both"/>
              <w:rPr>
                <w:rFonts w:ascii="Times New Roman" w:eastAsia="Times New Roman" w:hAnsi="Times New Roman" w:cs="Times New Roman"/>
                <w:kern w:val="0"/>
                <w:sz w:val="24"/>
                <w:szCs w:val="20"/>
                <w:lang w:val="en-GB" w:eastAsia="fr-BE"/>
                <w14:ligatures w14:val="none"/>
              </w:rPr>
            </w:pPr>
            <w:r w:rsidRPr="00106FE0">
              <w:rPr>
                <w:rFonts w:ascii="Times New Roman" w:eastAsia="Times New Roman" w:hAnsi="Times New Roman" w:cs="Times New Roman"/>
                <w:kern w:val="0"/>
                <w:sz w:val="24"/>
                <w:szCs w:val="20"/>
                <w:lang w:val="en-GB" w:eastAsia="fr-BE"/>
                <w14:ligatures w14:val="none"/>
              </w:rPr>
              <w:t xml:space="preserve">Do you consider that the above-mentioned solutions could simplify business operations and reduce the burden on the cosmetic industry? </w:t>
            </w:r>
          </w:p>
          <w:p w14:paraId="1EBFC7F3" w14:textId="20F8C8E9" w:rsidR="00106FE0" w:rsidRPr="00106FE0" w:rsidRDefault="00106FE0" w:rsidP="00106FE0">
            <w:pPr>
              <w:pStyle w:val="ListParagraph"/>
              <w:numPr>
                <w:ilvl w:val="0"/>
                <w:numId w:val="15"/>
              </w:numPr>
              <w:spacing w:after="240"/>
              <w:jc w:val="both"/>
              <w:rPr>
                <w:rFonts w:ascii="Times New Roman" w:eastAsia="Times New Roman" w:hAnsi="Times New Roman" w:cs="Times New Roman"/>
                <w:kern w:val="0"/>
                <w:sz w:val="24"/>
                <w:szCs w:val="20"/>
                <w:lang w:val="en-GB" w:eastAsia="fr-BE"/>
                <w14:ligatures w14:val="none"/>
              </w:rPr>
            </w:pPr>
            <w:r w:rsidRPr="00106FE0">
              <w:rPr>
                <w:rFonts w:ascii="Times New Roman" w:eastAsia="Times New Roman" w:hAnsi="Times New Roman" w:cs="Times New Roman"/>
                <w:kern w:val="0"/>
                <w:sz w:val="24"/>
                <w:szCs w:val="20"/>
                <w:lang w:val="en-GB" w:eastAsia="fr-BE"/>
                <w14:ligatures w14:val="none"/>
              </w:rPr>
              <w:t>If yes: could you provide data enabling to assess the burden reduction or expected benefits?</w:t>
            </w:r>
          </w:p>
          <w:p w14:paraId="3E666754" w14:textId="08C5330F" w:rsidR="00106FE0" w:rsidRPr="00106FE0" w:rsidRDefault="00106FE0" w:rsidP="00106FE0">
            <w:pPr>
              <w:pStyle w:val="ListParagraph"/>
              <w:numPr>
                <w:ilvl w:val="0"/>
                <w:numId w:val="15"/>
              </w:numPr>
              <w:spacing w:after="240"/>
              <w:jc w:val="both"/>
              <w:rPr>
                <w:rFonts w:ascii="Times New Roman" w:eastAsia="Times New Roman" w:hAnsi="Times New Roman" w:cs="Times New Roman"/>
                <w:kern w:val="0"/>
                <w:sz w:val="24"/>
                <w:szCs w:val="20"/>
                <w:lang w:val="en-GB" w:eastAsia="fr-BE"/>
                <w14:ligatures w14:val="none"/>
              </w:rPr>
            </w:pPr>
            <w:r w:rsidRPr="00106FE0">
              <w:rPr>
                <w:rFonts w:ascii="Times New Roman" w:eastAsia="Times New Roman" w:hAnsi="Times New Roman" w:cs="Times New Roman"/>
                <w:kern w:val="0"/>
                <w:sz w:val="24"/>
                <w:szCs w:val="20"/>
                <w:lang w:val="en-GB" w:eastAsia="fr-BE"/>
                <w14:ligatures w14:val="none"/>
              </w:rPr>
              <w:t>Which of the suggested solution</w:t>
            </w:r>
            <w:r w:rsidR="00CD3359">
              <w:rPr>
                <w:rFonts w:ascii="Times New Roman" w:eastAsia="Times New Roman" w:hAnsi="Times New Roman" w:cs="Times New Roman"/>
                <w:kern w:val="0"/>
                <w:sz w:val="24"/>
                <w:szCs w:val="20"/>
                <w:lang w:val="en-GB" w:eastAsia="fr-BE"/>
                <w14:ligatures w14:val="none"/>
              </w:rPr>
              <w:t>s</w:t>
            </w:r>
            <w:r w:rsidRPr="00106FE0">
              <w:rPr>
                <w:rFonts w:ascii="Times New Roman" w:eastAsia="Times New Roman" w:hAnsi="Times New Roman" w:cs="Times New Roman"/>
                <w:kern w:val="0"/>
                <w:sz w:val="24"/>
                <w:szCs w:val="20"/>
                <w:lang w:val="en-GB" w:eastAsia="fr-BE"/>
                <w14:ligatures w14:val="none"/>
              </w:rPr>
              <w:t xml:space="preserve"> would bring the highest added value?</w:t>
            </w:r>
          </w:p>
          <w:p w14:paraId="1387B47E" w14:textId="77777777" w:rsidR="00106FE0" w:rsidRPr="00106FE0" w:rsidRDefault="00106FE0" w:rsidP="00106FE0">
            <w:pPr>
              <w:pStyle w:val="ListParagraph"/>
              <w:numPr>
                <w:ilvl w:val="0"/>
                <w:numId w:val="15"/>
              </w:numPr>
              <w:spacing w:after="240"/>
              <w:jc w:val="both"/>
              <w:rPr>
                <w:rFonts w:ascii="Times New Roman" w:eastAsia="Times New Roman" w:hAnsi="Times New Roman" w:cs="Times New Roman"/>
                <w:b/>
                <w:bCs/>
                <w:kern w:val="0"/>
                <w:sz w:val="24"/>
                <w:szCs w:val="24"/>
                <w:lang w:val="en-GB" w:eastAsia="fr-BE"/>
                <w14:ligatures w14:val="none"/>
              </w:rPr>
            </w:pPr>
            <w:r w:rsidRPr="00106FE0">
              <w:rPr>
                <w:rFonts w:ascii="Times New Roman" w:eastAsia="Times New Roman" w:hAnsi="Times New Roman" w:cs="Times New Roman"/>
                <w:kern w:val="0"/>
                <w:sz w:val="24"/>
                <w:szCs w:val="24"/>
                <w:lang w:val="en-GB" w:eastAsia="fr-BE"/>
                <w14:ligatures w14:val="none"/>
              </w:rPr>
              <w:t>Are there other solutions related to the simplification and burden reduction for businesses?</w:t>
            </w:r>
          </w:p>
          <w:p w14:paraId="4D15A27B" w14:textId="0F54F773" w:rsidR="00106FE0" w:rsidRPr="00106FE0" w:rsidRDefault="00106FE0" w:rsidP="009E68F8">
            <w:pPr>
              <w:pStyle w:val="ListParagraph"/>
              <w:numPr>
                <w:ilvl w:val="0"/>
                <w:numId w:val="15"/>
              </w:numPr>
              <w:spacing w:after="240"/>
              <w:jc w:val="both"/>
              <w:rPr>
                <w:lang w:val="en-GB" w:eastAsia="fr-BE"/>
              </w:rPr>
            </w:pPr>
            <w:r w:rsidRPr="00106FE0">
              <w:rPr>
                <w:rFonts w:ascii="Times New Roman" w:eastAsia="Times New Roman" w:hAnsi="Times New Roman" w:cs="Times New Roman"/>
                <w:kern w:val="0"/>
                <w:sz w:val="24"/>
                <w:szCs w:val="20"/>
                <w:lang w:val="en-GB" w:eastAsia="fr-BE"/>
                <w14:ligatures w14:val="none"/>
              </w:rPr>
              <w:t>Are there other solutions which could increase the number of authorised colorants, preservatives and UV filters in cosmetics?</w:t>
            </w:r>
          </w:p>
        </w:tc>
      </w:tr>
    </w:tbl>
    <w:p w14:paraId="6325B6D4" w14:textId="058ABF97" w:rsidR="00B72A76" w:rsidRPr="00B72A76" w:rsidRDefault="00106FE0" w:rsidP="00106FE0">
      <w:pPr>
        <w:pStyle w:val="Heading1"/>
        <w:numPr>
          <w:ilvl w:val="0"/>
          <w:numId w:val="8"/>
        </w:numPr>
        <w:rPr>
          <w:rFonts w:eastAsia="Times New Roman"/>
          <w:lang w:val="en-GB" w:eastAsia="fr-BE"/>
        </w:rPr>
      </w:pPr>
      <w:r>
        <w:rPr>
          <w:rFonts w:eastAsia="Times New Roman"/>
          <w:lang w:val="en-GB" w:eastAsia="fr-BE"/>
        </w:rPr>
        <w:t>Potential areas for r</w:t>
      </w:r>
      <w:r w:rsidR="00B72A76" w:rsidRPr="00B72A76">
        <w:rPr>
          <w:rFonts w:eastAsia="Times New Roman"/>
          <w:lang w:val="en-GB" w:eastAsia="fr-BE"/>
        </w:rPr>
        <w:t xml:space="preserve">educing </w:t>
      </w:r>
      <w:r w:rsidR="00EF5700">
        <w:rPr>
          <w:rFonts w:eastAsia="Times New Roman"/>
          <w:lang w:val="en-GB" w:eastAsia="fr-BE"/>
        </w:rPr>
        <w:t xml:space="preserve">notifications and </w:t>
      </w:r>
      <w:r w:rsidR="00B72A76" w:rsidRPr="00B72A76">
        <w:rPr>
          <w:rFonts w:eastAsia="Times New Roman"/>
          <w:lang w:val="en-GB" w:eastAsia="fr-BE"/>
        </w:rPr>
        <w:t xml:space="preserve">reporting obligations </w:t>
      </w:r>
    </w:p>
    <w:p w14:paraId="4A3A4B5C" w14:textId="77777777" w:rsidR="00EF5700" w:rsidRPr="00716C2B" w:rsidRDefault="00EF5700" w:rsidP="00EF5700">
      <w:pPr>
        <w:pStyle w:val="ListParagraph"/>
        <w:numPr>
          <w:ilvl w:val="0"/>
          <w:numId w:val="2"/>
        </w:numPr>
        <w:rPr>
          <w:rFonts w:ascii="Times New Roman" w:eastAsia="Times New Roman" w:hAnsi="Times New Roman" w:cs="Times New Roman"/>
          <w:b/>
          <w:bCs/>
          <w:i/>
          <w:iCs/>
          <w:kern w:val="0"/>
          <w:sz w:val="24"/>
          <w:szCs w:val="20"/>
          <w:lang w:val="en-GB" w:eastAsia="fr-BE"/>
          <w14:ligatures w14:val="none"/>
        </w:rPr>
      </w:pPr>
      <w:r w:rsidRPr="00716C2B">
        <w:rPr>
          <w:rFonts w:ascii="Times New Roman" w:eastAsia="Times New Roman" w:hAnsi="Times New Roman" w:cs="Times New Roman"/>
          <w:b/>
          <w:bCs/>
          <w:i/>
          <w:iCs/>
          <w:kern w:val="0"/>
          <w:sz w:val="24"/>
          <w:szCs w:val="20"/>
          <w:lang w:val="en-GB" w:eastAsia="fr-BE"/>
          <w14:ligatures w14:val="none"/>
        </w:rPr>
        <w:t>Reviewing prenotification requirements for products containing nanomaterials (Article 16)</w:t>
      </w:r>
    </w:p>
    <w:p w14:paraId="778B281C" w14:textId="09BE6121" w:rsidR="00EF5700" w:rsidRDefault="001E417D" w:rsidP="00EF5700">
      <w:pPr>
        <w:spacing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According to the CPR, products containing nanomaterials (other than colorants, UV-filters</w:t>
      </w:r>
      <w:r w:rsidR="00C91C25">
        <w:rPr>
          <w:rFonts w:ascii="Times New Roman" w:eastAsia="Times New Roman" w:hAnsi="Times New Roman" w:cs="Times New Roman"/>
          <w:kern w:val="0"/>
          <w:sz w:val="24"/>
          <w:szCs w:val="20"/>
          <w:lang w:val="en-GB" w:eastAsia="fr-BE"/>
          <w14:ligatures w14:val="none"/>
        </w:rPr>
        <w:t>,</w:t>
      </w:r>
      <w:r>
        <w:rPr>
          <w:rFonts w:ascii="Times New Roman" w:eastAsia="Times New Roman" w:hAnsi="Times New Roman" w:cs="Times New Roman"/>
          <w:kern w:val="0"/>
          <w:sz w:val="24"/>
          <w:szCs w:val="20"/>
          <w:lang w:val="en-GB" w:eastAsia="fr-BE"/>
          <w14:ligatures w14:val="none"/>
        </w:rPr>
        <w:t xml:space="preserve"> preservatives</w:t>
      </w:r>
      <w:r w:rsidR="00C91C25">
        <w:rPr>
          <w:rFonts w:ascii="Times New Roman" w:eastAsia="Times New Roman" w:hAnsi="Times New Roman" w:cs="Times New Roman"/>
          <w:kern w:val="0"/>
          <w:sz w:val="24"/>
          <w:szCs w:val="20"/>
          <w:lang w:val="en-GB" w:eastAsia="fr-BE"/>
          <w14:ligatures w14:val="none"/>
        </w:rPr>
        <w:t xml:space="preserve"> or nanomaterials in conformity with Annex III requirements</w:t>
      </w:r>
      <w:r>
        <w:rPr>
          <w:rFonts w:ascii="Times New Roman" w:eastAsia="Times New Roman" w:hAnsi="Times New Roman" w:cs="Times New Roman"/>
          <w:kern w:val="0"/>
          <w:sz w:val="24"/>
          <w:szCs w:val="20"/>
          <w:lang w:val="en-GB" w:eastAsia="fr-BE"/>
          <w14:ligatures w14:val="none"/>
        </w:rPr>
        <w:t xml:space="preserve">) must be notified to the Commission six months prior to being placed on the market. </w:t>
      </w:r>
      <w:r w:rsidR="00C91C25">
        <w:rPr>
          <w:rFonts w:ascii="Times New Roman" w:eastAsia="Times New Roman" w:hAnsi="Times New Roman" w:cs="Times New Roman"/>
          <w:kern w:val="0"/>
          <w:sz w:val="24"/>
          <w:szCs w:val="20"/>
          <w:lang w:val="en-GB" w:eastAsia="fr-BE"/>
          <w14:ligatures w14:val="none"/>
        </w:rPr>
        <w:t>This obligation is in addition to the notification obligation that applies to all cosmetic products under Article 13 CPR.</w:t>
      </w:r>
    </w:p>
    <w:p w14:paraId="6C04266E" w14:textId="69E60E21" w:rsidR="00604E8D" w:rsidRPr="00C91C25" w:rsidRDefault="00C91C25" w:rsidP="00B5425E">
      <w:pPr>
        <w:spacing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This double notification of products containing nanomaterials seems no longer justified</w:t>
      </w:r>
      <w:r w:rsidR="00B5425E">
        <w:rPr>
          <w:rFonts w:ascii="Times New Roman" w:eastAsia="Times New Roman" w:hAnsi="Times New Roman" w:cs="Times New Roman"/>
          <w:kern w:val="0"/>
          <w:sz w:val="24"/>
          <w:szCs w:val="20"/>
          <w:lang w:val="en-GB" w:eastAsia="fr-BE"/>
          <w14:ligatures w14:val="none"/>
        </w:rPr>
        <w:t xml:space="preserve"> as the cosmetic products containing nanomaterials </w:t>
      </w:r>
      <w:r w:rsidR="00604E8D">
        <w:rPr>
          <w:rFonts w:ascii="Times New Roman" w:eastAsia="Times New Roman" w:hAnsi="Times New Roman" w:cs="Times New Roman"/>
          <w:kern w:val="0"/>
          <w:sz w:val="24"/>
          <w:szCs w:val="20"/>
          <w:lang w:val="en-GB" w:eastAsia="fr-BE"/>
          <w14:ligatures w14:val="none"/>
        </w:rPr>
        <w:t>should not be</w:t>
      </w:r>
      <w:r w:rsidR="00B5425E">
        <w:rPr>
          <w:rFonts w:ascii="Times New Roman" w:eastAsia="Times New Roman" w:hAnsi="Times New Roman" w:cs="Times New Roman"/>
          <w:kern w:val="0"/>
          <w:sz w:val="24"/>
          <w:szCs w:val="20"/>
          <w:lang w:val="en-GB" w:eastAsia="fr-BE"/>
          <w14:ligatures w14:val="none"/>
        </w:rPr>
        <w:t xml:space="preserve"> considered less safe than other </w:t>
      </w:r>
      <w:r w:rsidR="00B5425E">
        <w:rPr>
          <w:rFonts w:ascii="Times New Roman" w:eastAsia="Times New Roman" w:hAnsi="Times New Roman" w:cs="Times New Roman"/>
          <w:kern w:val="0"/>
          <w:sz w:val="24"/>
          <w:szCs w:val="20"/>
          <w:lang w:val="en-GB" w:eastAsia="fr-BE"/>
          <w14:ligatures w14:val="none"/>
        </w:rPr>
        <w:lastRenderedPageBreak/>
        <w:t>cosmetic products</w:t>
      </w:r>
      <w:r w:rsidR="00604E8D">
        <w:rPr>
          <w:rFonts w:ascii="Times New Roman" w:eastAsia="Times New Roman" w:hAnsi="Times New Roman" w:cs="Times New Roman"/>
          <w:kern w:val="0"/>
          <w:sz w:val="24"/>
          <w:szCs w:val="20"/>
          <w:lang w:val="en-GB" w:eastAsia="fr-BE"/>
          <w14:ligatures w14:val="none"/>
        </w:rPr>
        <w:t xml:space="preserve"> as they are subject to the appropriate safety assessment under the responsibility of the responsible person</w:t>
      </w:r>
      <w:r w:rsidR="00B5425E">
        <w:rPr>
          <w:rFonts w:ascii="Times New Roman" w:eastAsia="Times New Roman" w:hAnsi="Times New Roman" w:cs="Times New Roman"/>
          <w:kern w:val="0"/>
          <w:sz w:val="24"/>
          <w:szCs w:val="20"/>
          <w:lang w:val="en-GB" w:eastAsia="fr-BE"/>
          <w14:ligatures w14:val="none"/>
        </w:rPr>
        <w:t xml:space="preserve">. </w:t>
      </w:r>
      <w:r w:rsidR="00604E8D">
        <w:rPr>
          <w:rFonts w:ascii="Times New Roman" w:eastAsia="Times New Roman" w:hAnsi="Times New Roman" w:cs="Times New Roman"/>
          <w:kern w:val="0"/>
          <w:sz w:val="24"/>
          <w:szCs w:val="20"/>
          <w:lang w:val="en-GB" w:eastAsia="fr-BE"/>
          <w14:ligatures w14:val="none"/>
        </w:rPr>
        <w:t xml:space="preserve">The Commission </w:t>
      </w:r>
      <w:r w:rsidR="00A60A20">
        <w:rPr>
          <w:rFonts w:ascii="Times New Roman" w:eastAsia="Times New Roman" w:hAnsi="Times New Roman" w:cs="Times New Roman"/>
          <w:kern w:val="0"/>
          <w:sz w:val="24"/>
          <w:szCs w:val="20"/>
          <w:lang w:val="en-GB" w:eastAsia="fr-BE"/>
          <w14:ligatures w14:val="none"/>
        </w:rPr>
        <w:t>may</w:t>
      </w:r>
      <w:r w:rsidR="00604E8D">
        <w:rPr>
          <w:rFonts w:ascii="Times New Roman" w:eastAsia="Times New Roman" w:hAnsi="Times New Roman" w:cs="Times New Roman"/>
          <w:kern w:val="0"/>
          <w:sz w:val="24"/>
          <w:szCs w:val="20"/>
          <w:lang w:val="en-GB" w:eastAsia="fr-BE"/>
          <w14:ligatures w14:val="none"/>
        </w:rPr>
        <w:t xml:space="preserve"> request the opinion of the SCCS on the safety of nanomaterial in case of safety concerns and the responsible person should be obliged to provide any necessary data to the Commission on its request.</w:t>
      </w:r>
      <w:r w:rsidR="000A3749">
        <w:rPr>
          <w:rFonts w:ascii="Times New Roman" w:eastAsia="Times New Roman" w:hAnsi="Times New Roman" w:cs="Times New Roman"/>
          <w:kern w:val="0"/>
          <w:sz w:val="24"/>
          <w:szCs w:val="20"/>
          <w:lang w:val="en-GB" w:eastAsia="fr-BE"/>
          <w14:ligatures w14:val="none"/>
        </w:rPr>
        <w:t xml:space="preserve"> The prenotification obligation laid down in Article 16 of the CPR could be therefore removed</w:t>
      </w:r>
      <w:r w:rsidR="0020703B">
        <w:rPr>
          <w:rFonts w:ascii="Times New Roman" w:eastAsia="Times New Roman" w:hAnsi="Times New Roman" w:cs="Times New Roman"/>
          <w:kern w:val="0"/>
          <w:sz w:val="24"/>
          <w:szCs w:val="20"/>
          <w:lang w:val="en-GB" w:eastAsia="fr-BE"/>
          <w14:ligatures w14:val="none"/>
        </w:rPr>
        <w:t xml:space="preserve"> to reduce additional burden</w:t>
      </w:r>
      <w:r w:rsidR="000A3749">
        <w:rPr>
          <w:rFonts w:ascii="Times New Roman" w:eastAsia="Times New Roman" w:hAnsi="Times New Roman" w:cs="Times New Roman"/>
          <w:kern w:val="0"/>
          <w:sz w:val="24"/>
          <w:szCs w:val="20"/>
          <w:lang w:val="en-GB" w:eastAsia="fr-BE"/>
          <w14:ligatures w14:val="none"/>
        </w:rPr>
        <w:t>.</w:t>
      </w:r>
    </w:p>
    <w:p w14:paraId="5ABABDED" w14:textId="77777777" w:rsidR="00B72A76" w:rsidRPr="00716C2B" w:rsidRDefault="00B72A76" w:rsidP="00B72A76">
      <w:pPr>
        <w:numPr>
          <w:ilvl w:val="0"/>
          <w:numId w:val="2"/>
        </w:numPr>
        <w:spacing w:after="240" w:line="240" w:lineRule="auto"/>
        <w:jc w:val="both"/>
        <w:rPr>
          <w:rFonts w:ascii="Times New Roman" w:eastAsia="Times New Roman" w:hAnsi="Times New Roman" w:cs="Times New Roman"/>
          <w:b/>
          <w:bCs/>
          <w:i/>
          <w:iCs/>
          <w:kern w:val="0"/>
          <w:sz w:val="24"/>
          <w:szCs w:val="20"/>
          <w:lang w:val="en-GB" w:eastAsia="fr-BE"/>
          <w14:ligatures w14:val="none"/>
        </w:rPr>
      </w:pPr>
      <w:r w:rsidRPr="00716C2B">
        <w:rPr>
          <w:rFonts w:ascii="Times New Roman" w:eastAsia="Times New Roman" w:hAnsi="Times New Roman" w:cs="Times New Roman"/>
          <w:b/>
          <w:bCs/>
          <w:i/>
          <w:iCs/>
          <w:kern w:val="0"/>
          <w:sz w:val="24"/>
          <w:szCs w:val="20"/>
          <w:lang w:val="en-GB" w:eastAsia="fr-BE"/>
          <w14:ligatures w14:val="none"/>
        </w:rPr>
        <w:t>Evaluating the relevance and efficiency of market surveillance reporting obligations (Article 22)</w:t>
      </w:r>
    </w:p>
    <w:p w14:paraId="5B693766" w14:textId="397A707A" w:rsidR="00AE51F2" w:rsidRDefault="00AE51F2" w:rsidP="00D10ABC">
      <w:pPr>
        <w:spacing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According to Article 22 of the CPR, Member States must perform appropriate checks of cosmetic products and periodically review and assess the functioning of their surveillance activities. Such reviews should be carried out at least every four years and the results should be communicated to the other Member States and the Commission.</w:t>
      </w:r>
    </w:p>
    <w:p w14:paraId="59A3A244" w14:textId="080E3635" w:rsidR="00AE51F2" w:rsidRDefault="00AE51F2" w:rsidP="00D10ABC">
      <w:pPr>
        <w:spacing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Over the years different networks and tools have been created to inform about and coordinate the market surveillance activities by the competent authorities:</w:t>
      </w:r>
    </w:p>
    <w:p w14:paraId="2A180261" w14:textId="41D415AE" w:rsidR="00AE51F2" w:rsidRDefault="00AE51F2" w:rsidP="00AE51F2">
      <w:pPr>
        <w:pStyle w:val="ListParagraph"/>
        <w:numPr>
          <w:ilvl w:val="0"/>
          <w:numId w:val="17"/>
        </w:numPr>
        <w:spacing w:after="240" w:line="240" w:lineRule="auto"/>
        <w:jc w:val="both"/>
        <w:rPr>
          <w:rFonts w:ascii="Times New Roman" w:eastAsia="Times New Roman" w:hAnsi="Times New Roman" w:cs="Times New Roman"/>
          <w:kern w:val="0"/>
          <w:sz w:val="24"/>
          <w:szCs w:val="20"/>
          <w:lang w:val="en-GB" w:eastAsia="fr-BE"/>
          <w14:ligatures w14:val="none"/>
        </w:rPr>
      </w:pPr>
      <w:r w:rsidRPr="00AE51F2">
        <w:rPr>
          <w:rFonts w:ascii="Times New Roman" w:eastAsia="Times New Roman" w:hAnsi="Times New Roman" w:cs="Times New Roman"/>
          <w:kern w:val="0"/>
          <w:sz w:val="24"/>
          <w:szCs w:val="20"/>
          <w:lang w:val="en-GB" w:eastAsia="fr-BE"/>
          <w14:ligatures w14:val="none"/>
        </w:rPr>
        <w:t xml:space="preserve">the EU Product Compliance Network (EUPCN) </w:t>
      </w:r>
      <w:r>
        <w:rPr>
          <w:rFonts w:ascii="Times New Roman" w:eastAsia="Times New Roman" w:hAnsi="Times New Roman" w:cs="Times New Roman"/>
          <w:kern w:val="0"/>
          <w:sz w:val="24"/>
          <w:szCs w:val="20"/>
          <w:lang w:val="en-GB" w:eastAsia="fr-BE"/>
          <w14:ligatures w14:val="none"/>
        </w:rPr>
        <w:t xml:space="preserve">has been established </w:t>
      </w:r>
      <w:r w:rsidRPr="00AE51F2">
        <w:rPr>
          <w:rFonts w:ascii="Times New Roman" w:eastAsia="Times New Roman" w:hAnsi="Times New Roman" w:cs="Times New Roman"/>
          <w:kern w:val="0"/>
          <w:sz w:val="24"/>
          <w:szCs w:val="20"/>
          <w:lang w:val="en-GB" w:eastAsia="fr-BE"/>
          <w14:ligatures w14:val="none"/>
        </w:rPr>
        <w:t>to structure the coordination and cooperation between market surveillance authorities in EU countries,</w:t>
      </w:r>
      <w:r>
        <w:rPr>
          <w:rFonts w:ascii="Times New Roman" w:eastAsia="Times New Roman" w:hAnsi="Times New Roman" w:cs="Times New Roman"/>
          <w:kern w:val="0"/>
          <w:sz w:val="24"/>
          <w:szCs w:val="20"/>
          <w:lang w:val="en-GB" w:eastAsia="fr-BE"/>
          <w14:ligatures w14:val="none"/>
        </w:rPr>
        <w:t xml:space="preserve"> </w:t>
      </w:r>
    </w:p>
    <w:p w14:paraId="2DAE372A" w14:textId="293C9766" w:rsidR="00AE51F2" w:rsidRDefault="00AE51F2" w:rsidP="00AE51F2">
      <w:pPr>
        <w:pStyle w:val="ListParagraph"/>
        <w:numPr>
          <w:ilvl w:val="0"/>
          <w:numId w:val="17"/>
        </w:numPr>
        <w:spacing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PEMSAC group facilitates the exchange of information among the market surveillance authorities responsible for cosmetics,</w:t>
      </w:r>
    </w:p>
    <w:p w14:paraId="420082DE" w14:textId="085DECDC" w:rsidR="00D10ABC" w:rsidRPr="00AE51F2" w:rsidRDefault="00AE51F2" w:rsidP="00D10ABC">
      <w:pPr>
        <w:pStyle w:val="ListParagraph"/>
        <w:numPr>
          <w:ilvl w:val="0"/>
          <w:numId w:val="17"/>
        </w:numPr>
        <w:spacing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 xml:space="preserve">The </w:t>
      </w:r>
      <w:r w:rsidR="00D10ABC" w:rsidRPr="00AE51F2">
        <w:rPr>
          <w:rFonts w:ascii="Times New Roman" w:eastAsia="Times New Roman" w:hAnsi="Times New Roman" w:cs="Times New Roman"/>
          <w:kern w:val="0"/>
          <w:sz w:val="24"/>
          <w:szCs w:val="20"/>
          <w:lang w:val="en-GB" w:eastAsia="fr-BE"/>
          <w14:ligatures w14:val="none"/>
        </w:rPr>
        <w:t>ICSMS (Information and Communication System for Market Surveillance)</w:t>
      </w:r>
      <w:r w:rsidR="00D10ABC">
        <w:rPr>
          <w:rStyle w:val="FootnoteReference"/>
          <w:rFonts w:ascii="Times New Roman" w:eastAsia="Times New Roman" w:hAnsi="Times New Roman" w:cs="Times New Roman"/>
          <w:kern w:val="0"/>
          <w:sz w:val="24"/>
          <w:szCs w:val="20"/>
          <w:lang w:val="en-GB" w:eastAsia="fr-BE"/>
          <w14:ligatures w14:val="none"/>
        </w:rPr>
        <w:footnoteReference w:id="4"/>
      </w:r>
      <w:r w:rsidR="00D10ABC" w:rsidRPr="00AE51F2">
        <w:rPr>
          <w:rFonts w:ascii="Times New Roman" w:eastAsia="Times New Roman" w:hAnsi="Times New Roman" w:cs="Times New Roman"/>
          <w:kern w:val="0"/>
          <w:sz w:val="24"/>
          <w:szCs w:val="20"/>
          <w:lang w:val="en-GB" w:eastAsia="fr-BE"/>
          <w14:ligatures w14:val="none"/>
        </w:rPr>
        <w:t xml:space="preserve"> </w:t>
      </w:r>
      <w:r>
        <w:rPr>
          <w:rFonts w:ascii="Times New Roman" w:eastAsia="Times New Roman" w:hAnsi="Times New Roman" w:cs="Times New Roman"/>
          <w:kern w:val="0"/>
          <w:sz w:val="24"/>
          <w:szCs w:val="20"/>
          <w:lang w:val="en-GB" w:eastAsia="fr-BE"/>
          <w14:ligatures w14:val="none"/>
        </w:rPr>
        <w:t>functions as</w:t>
      </w:r>
      <w:r w:rsidR="00D10ABC" w:rsidRPr="00AE51F2">
        <w:rPr>
          <w:rFonts w:ascii="Times New Roman" w:eastAsia="Times New Roman" w:hAnsi="Times New Roman" w:cs="Times New Roman"/>
          <w:kern w:val="0"/>
          <w:sz w:val="24"/>
          <w:szCs w:val="20"/>
          <w:lang w:val="en-GB" w:eastAsia="fr-BE"/>
          <w14:ligatures w14:val="none"/>
        </w:rPr>
        <w:t xml:space="preserve"> the comprehensive communication platform for market surveillance on non-food products and for mutual recognition for goods.</w:t>
      </w:r>
    </w:p>
    <w:p w14:paraId="5094B672" w14:textId="7B8B2F30" w:rsidR="00D10ABC" w:rsidRDefault="00D10ABC" w:rsidP="008C7899">
      <w:pPr>
        <w:spacing w:after="240" w:line="240" w:lineRule="auto"/>
        <w:jc w:val="both"/>
        <w:rPr>
          <w:rFonts w:ascii="Times New Roman" w:eastAsia="Times New Roman" w:hAnsi="Times New Roman" w:cs="Times New Roman"/>
          <w:kern w:val="0"/>
          <w:sz w:val="24"/>
          <w:szCs w:val="20"/>
          <w:lang w:val="en-GB" w:eastAsia="fr-BE"/>
          <w14:ligatures w14:val="none"/>
        </w:rPr>
      </w:pPr>
      <w:r w:rsidRPr="00D10ABC">
        <w:rPr>
          <w:rFonts w:ascii="Times New Roman" w:eastAsia="Times New Roman" w:hAnsi="Times New Roman" w:cs="Times New Roman"/>
          <w:kern w:val="0"/>
          <w:sz w:val="24"/>
          <w:szCs w:val="20"/>
          <w:lang w:val="en-GB" w:eastAsia="fr-BE"/>
          <w14:ligatures w14:val="none"/>
        </w:rPr>
        <w:t xml:space="preserve">The </w:t>
      </w:r>
      <w:r w:rsidR="00AE51F2">
        <w:rPr>
          <w:rFonts w:ascii="Times New Roman" w:eastAsia="Times New Roman" w:hAnsi="Times New Roman" w:cs="Times New Roman"/>
          <w:kern w:val="0"/>
          <w:sz w:val="24"/>
          <w:szCs w:val="20"/>
          <w:lang w:val="en-GB" w:eastAsia="fr-BE"/>
          <w14:ligatures w14:val="none"/>
        </w:rPr>
        <w:t xml:space="preserve">ICSMS </w:t>
      </w:r>
      <w:r w:rsidRPr="00D10ABC">
        <w:rPr>
          <w:rFonts w:ascii="Times New Roman" w:eastAsia="Times New Roman" w:hAnsi="Times New Roman" w:cs="Times New Roman"/>
          <w:kern w:val="0"/>
          <w:sz w:val="24"/>
          <w:szCs w:val="20"/>
          <w:lang w:val="en-GB" w:eastAsia="fr-BE"/>
          <w14:ligatures w14:val="none"/>
        </w:rPr>
        <w:t>allows information on investigated products (test results, product identification data, economic operator information, accident information, information on measures taken by surveillance authorities etc.) to be quickly and efficiently shared between authorities. It supports market surveillance activities, by providing a register for their documentation, the identification of the products inspected and the results of the tests/checks.</w:t>
      </w:r>
    </w:p>
    <w:p w14:paraId="1E2C046B" w14:textId="0F39F321" w:rsidR="00AE51F2" w:rsidRDefault="00AE51F2" w:rsidP="008C7899">
      <w:pPr>
        <w:spacing w:after="240" w:line="240" w:lineRule="auto"/>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The reporting obligation introduced in Article 22 of the CPR has become</w:t>
      </w:r>
      <w:r w:rsidR="00712A1F">
        <w:rPr>
          <w:rFonts w:ascii="Times New Roman" w:eastAsia="Times New Roman" w:hAnsi="Times New Roman" w:cs="Times New Roman"/>
          <w:kern w:val="0"/>
          <w:sz w:val="24"/>
          <w:szCs w:val="20"/>
          <w:lang w:val="en-GB" w:eastAsia="fr-BE"/>
          <w14:ligatures w14:val="none"/>
        </w:rPr>
        <w:t>,</w:t>
      </w:r>
      <w:r>
        <w:rPr>
          <w:rFonts w:ascii="Times New Roman" w:eastAsia="Times New Roman" w:hAnsi="Times New Roman" w:cs="Times New Roman"/>
          <w:kern w:val="0"/>
          <w:sz w:val="24"/>
          <w:szCs w:val="20"/>
          <w:lang w:val="en-GB" w:eastAsia="fr-BE"/>
          <w14:ligatures w14:val="none"/>
        </w:rPr>
        <w:t xml:space="preserve"> therefore</w:t>
      </w:r>
      <w:r w:rsidR="00712A1F">
        <w:rPr>
          <w:rFonts w:ascii="Times New Roman" w:eastAsia="Times New Roman" w:hAnsi="Times New Roman" w:cs="Times New Roman"/>
          <w:kern w:val="0"/>
          <w:sz w:val="24"/>
          <w:szCs w:val="20"/>
          <w:lang w:val="en-GB" w:eastAsia="fr-BE"/>
          <w14:ligatures w14:val="none"/>
        </w:rPr>
        <w:t>,</w:t>
      </w:r>
      <w:r>
        <w:rPr>
          <w:rFonts w:ascii="Times New Roman" w:eastAsia="Times New Roman" w:hAnsi="Times New Roman" w:cs="Times New Roman"/>
          <w:kern w:val="0"/>
          <w:sz w:val="24"/>
          <w:szCs w:val="20"/>
          <w:lang w:val="en-GB" w:eastAsia="fr-BE"/>
          <w14:ligatures w14:val="none"/>
        </w:rPr>
        <w:t xml:space="preserve"> an unnecessary burden on the competent authorities</w:t>
      </w:r>
      <w:r w:rsidR="00CB1729">
        <w:rPr>
          <w:rFonts w:ascii="Times New Roman" w:eastAsia="Times New Roman" w:hAnsi="Times New Roman" w:cs="Times New Roman"/>
          <w:kern w:val="0"/>
          <w:sz w:val="24"/>
          <w:szCs w:val="20"/>
          <w:lang w:val="en-GB" w:eastAsia="fr-BE"/>
          <w14:ligatures w14:val="none"/>
        </w:rPr>
        <w:t xml:space="preserve"> and it should be therefore </w:t>
      </w:r>
      <w:r w:rsidR="000A3749">
        <w:rPr>
          <w:rFonts w:ascii="Times New Roman" w:eastAsia="Times New Roman" w:hAnsi="Times New Roman" w:cs="Times New Roman"/>
          <w:kern w:val="0"/>
          <w:sz w:val="24"/>
          <w:szCs w:val="20"/>
          <w:lang w:val="en-GB" w:eastAsia="fr-BE"/>
          <w14:ligatures w14:val="none"/>
        </w:rPr>
        <w:t>removed</w:t>
      </w:r>
      <w:r>
        <w:rPr>
          <w:rFonts w:ascii="Times New Roman" w:eastAsia="Times New Roman" w:hAnsi="Times New Roman" w:cs="Times New Roman"/>
          <w:kern w:val="0"/>
          <w:sz w:val="24"/>
          <w:szCs w:val="20"/>
          <w:lang w:val="en-GB" w:eastAsia="fr-BE"/>
          <w14:ligatures w14:val="none"/>
        </w:rPr>
        <w:t>.</w:t>
      </w:r>
    </w:p>
    <w:tbl>
      <w:tblPr>
        <w:tblStyle w:val="TableGrid"/>
        <w:tblW w:w="0" w:type="auto"/>
        <w:tblLook w:val="04A0" w:firstRow="1" w:lastRow="0" w:firstColumn="1" w:lastColumn="0" w:noHBand="0" w:noVBand="1"/>
      </w:tblPr>
      <w:tblGrid>
        <w:gridCol w:w="9016"/>
      </w:tblGrid>
      <w:tr w:rsidR="00136C00" w14:paraId="782D448B" w14:textId="77777777" w:rsidTr="00136C00">
        <w:tc>
          <w:tcPr>
            <w:tcW w:w="9242" w:type="dxa"/>
          </w:tcPr>
          <w:p w14:paraId="61B6635D" w14:textId="77777777" w:rsidR="00136C00" w:rsidRPr="00136C00" w:rsidRDefault="00136C00" w:rsidP="00136C00">
            <w:pPr>
              <w:spacing w:after="240"/>
              <w:jc w:val="both"/>
              <w:rPr>
                <w:rFonts w:ascii="Times New Roman" w:eastAsia="Times New Roman" w:hAnsi="Times New Roman" w:cs="Times New Roman"/>
                <w:b/>
                <w:bCs/>
                <w:color w:val="215E99" w:themeColor="text2" w:themeTint="BF"/>
                <w:kern w:val="0"/>
                <w:sz w:val="36"/>
                <w:szCs w:val="36"/>
                <w:lang w:val="en-GB" w:eastAsia="fr-BE"/>
                <w14:ligatures w14:val="none"/>
              </w:rPr>
            </w:pPr>
            <w:r w:rsidRPr="00136C00">
              <w:rPr>
                <w:rFonts w:ascii="Times New Roman" w:eastAsia="Times New Roman" w:hAnsi="Times New Roman" w:cs="Times New Roman"/>
                <w:b/>
                <w:bCs/>
                <w:color w:val="215E99" w:themeColor="text2" w:themeTint="BF"/>
                <w:kern w:val="0"/>
                <w:sz w:val="36"/>
                <w:szCs w:val="36"/>
                <w:lang w:val="en-GB" w:eastAsia="fr-BE"/>
                <w14:ligatures w14:val="none"/>
              </w:rPr>
              <w:t>Questions for consideration:</w:t>
            </w:r>
          </w:p>
          <w:p w14:paraId="08FECCD9" w14:textId="1EBD9B92" w:rsidR="009E68F8" w:rsidRDefault="009E68F8" w:rsidP="00136C00">
            <w:pPr>
              <w:pStyle w:val="ListParagraph"/>
              <w:numPr>
                <w:ilvl w:val="0"/>
                <w:numId w:val="14"/>
              </w:numPr>
              <w:spacing w:after="240"/>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Do you consider that prenotification of cosmetic products containing nanomaterial creates unnecessary burden and costs on the cosmetics industry?</w:t>
            </w:r>
          </w:p>
          <w:p w14:paraId="2D0ED801" w14:textId="1097A32A" w:rsidR="00136C00" w:rsidRDefault="00136C00" w:rsidP="00136C00">
            <w:pPr>
              <w:pStyle w:val="ListParagraph"/>
              <w:numPr>
                <w:ilvl w:val="0"/>
                <w:numId w:val="14"/>
              </w:numPr>
              <w:spacing w:after="240"/>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 xml:space="preserve">Do you consider that </w:t>
            </w:r>
            <w:r w:rsidR="00CD3359">
              <w:rPr>
                <w:rFonts w:ascii="Times New Roman" w:eastAsia="Times New Roman" w:hAnsi="Times New Roman" w:cs="Times New Roman"/>
                <w:kern w:val="0"/>
                <w:sz w:val="24"/>
                <w:szCs w:val="20"/>
                <w:lang w:val="en-GB" w:eastAsia="fr-BE"/>
                <w14:ligatures w14:val="none"/>
              </w:rPr>
              <w:t xml:space="preserve">the </w:t>
            </w:r>
            <w:r>
              <w:rPr>
                <w:rFonts w:ascii="Times New Roman" w:eastAsia="Times New Roman" w:hAnsi="Times New Roman" w:cs="Times New Roman"/>
                <w:kern w:val="0"/>
                <w:sz w:val="24"/>
                <w:szCs w:val="20"/>
                <w:lang w:val="en-GB" w:eastAsia="fr-BE"/>
                <w14:ligatures w14:val="none"/>
              </w:rPr>
              <w:t xml:space="preserve">deletion of the reporting obligations would reduce burden on competent authorities? </w:t>
            </w:r>
          </w:p>
          <w:p w14:paraId="2D816373" w14:textId="0A31FECE" w:rsidR="00136C00" w:rsidRDefault="00136C00" w:rsidP="00136C00">
            <w:pPr>
              <w:pStyle w:val="ListParagraph"/>
              <w:numPr>
                <w:ilvl w:val="0"/>
                <w:numId w:val="14"/>
              </w:numPr>
              <w:spacing w:after="240"/>
              <w:jc w:val="both"/>
              <w:rPr>
                <w:rFonts w:ascii="Times New Roman" w:eastAsia="Times New Roman" w:hAnsi="Times New Roman" w:cs="Times New Roman"/>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If yes: could you provide data or evidence supporting th</w:t>
            </w:r>
            <w:r w:rsidR="009E68F8">
              <w:rPr>
                <w:rFonts w:ascii="Times New Roman" w:eastAsia="Times New Roman" w:hAnsi="Times New Roman" w:cs="Times New Roman"/>
                <w:kern w:val="0"/>
                <w:sz w:val="24"/>
                <w:szCs w:val="20"/>
                <w:lang w:val="en-GB" w:eastAsia="fr-BE"/>
                <w14:ligatures w14:val="none"/>
              </w:rPr>
              <w:t>e above</w:t>
            </w:r>
            <w:r>
              <w:rPr>
                <w:rFonts w:ascii="Times New Roman" w:eastAsia="Times New Roman" w:hAnsi="Times New Roman" w:cs="Times New Roman"/>
                <w:kern w:val="0"/>
                <w:sz w:val="24"/>
                <w:szCs w:val="20"/>
                <w:lang w:val="en-GB" w:eastAsia="fr-BE"/>
                <w14:ligatures w14:val="none"/>
              </w:rPr>
              <w:t xml:space="preserve"> claim</w:t>
            </w:r>
            <w:r w:rsidR="009E68F8">
              <w:rPr>
                <w:rFonts w:ascii="Times New Roman" w:eastAsia="Times New Roman" w:hAnsi="Times New Roman" w:cs="Times New Roman"/>
                <w:kern w:val="0"/>
                <w:sz w:val="24"/>
                <w:szCs w:val="20"/>
                <w:lang w:val="en-GB" w:eastAsia="fr-BE"/>
                <w14:ligatures w14:val="none"/>
              </w:rPr>
              <w:t>s</w:t>
            </w:r>
            <w:r>
              <w:rPr>
                <w:rFonts w:ascii="Times New Roman" w:eastAsia="Times New Roman" w:hAnsi="Times New Roman" w:cs="Times New Roman"/>
                <w:kern w:val="0"/>
                <w:sz w:val="24"/>
                <w:szCs w:val="20"/>
                <w:lang w:val="en-GB" w:eastAsia="fr-BE"/>
                <w14:ligatures w14:val="none"/>
              </w:rPr>
              <w:t>?</w:t>
            </w:r>
          </w:p>
          <w:p w14:paraId="1861BA1A" w14:textId="027A1FF6" w:rsidR="00136C00" w:rsidRDefault="00136C00" w:rsidP="00136C00">
            <w:pPr>
              <w:pStyle w:val="ListParagraph"/>
              <w:numPr>
                <w:ilvl w:val="0"/>
                <w:numId w:val="14"/>
              </w:numPr>
              <w:spacing w:after="240"/>
              <w:jc w:val="both"/>
              <w:rPr>
                <w:rFonts w:ascii="Times New Roman" w:eastAsia="Times New Roman" w:hAnsi="Times New Roman" w:cs="Times New Roman"/>
                <w:b/>
                <w:bCs/>
                <w:kern w:val="0"/>
                <w:sz w:val="24"/>
                <w:szCs w:val="20"/>
                <w:lang w:val="en-GB" w:eastAsia="fr-BE"/>
                <w14:ligatures w14:val="none"/>
              </w:rPr>
            </w:pPr>
            <w:r>
              <w:rPr>
                <w:rFonts w:ascii="Times New Roman" w:eastAsia="Times New Roman" w:hAnsi="Times New Roman" w:cs="Times New Roman"/>
                <w:kern w:val="0"/>
                <w:sz w:val="24"/>
                <w:szCs w:val="20"/>
                <w:lang w:val="en-GB" w:eastAsia="fr-BE"/>
                <w14:ligatures w14:val="none"/>
              </w:rPr>
              <w:t xml:space="preserve">Are there other reporting obligations which could be deleted? </w:t>
            </w:r>
          </w:p>
        </w:tc>
      </w:tr>
    </w:tbl>
    <w:p w14:paraId="1C129D73" w14:textId="77777777" w:rsidR="00136C00" w:rsidRDefault="00136C00" w:rsidP="00F52DC1">
      <w:pPr>
        <w:spacing w:after="240" w:line="240" w:lineRule="auto"/>
        <w:jc w:val="both"/>
        <w:rPr>
          <w:rFonts w:ascii="Times New Roman" w:eastAsia="Times New Roman" w:hAnsi="Times New Roman" w:cs="Times New Roman"/>
          <w:b/>
          <w:bCs/>
          <w:kern w:val="0"/>
          <w:sz w:val="24"/>
          <w:szCs w:val="20"/>
          <w:lang w:val="en-GB" w:eastAsia="fr-BE"/>
          <w14:ligatures w14:val="none"/>
        </w:rPr>
      </w:pPr>
    </w:p>
    <w:p w14:paraId="0715F7F3" w14:textId="4EB54B32" w:rsidR="00136C00" w:rsidRDefault="00136C00" w:rsidP="00136C00">
      <w:pPr>
        <w:spacing w:after="240" w:line="240" w:lineRule="auto"/>
        <w:jc w:val="center"/>
        <w:rPr>
          <w:rFonts w:ascii="Times New Roman" w:eastAsia="Times New Roman" w:hAnsi="Times New Roman" w:cs="Times New Roman"/>
          <w:b/>
          <w:bCs/>
          <w:kern w:val="0"/>
          <w:sz w:val="24"/>
          <w:szCs w:val="20"/>
          <w:lang w:val="en-GB" w:eastAsia="fr-BE"/>
          <w14:ligatures w14:val="none"/>
        </w:rPr>
      </w:pPr>
      <w:r>
        <w:rPr>
          <w:rFonts w:ascii="Times New Roman" w:eastAsia="Times New Roman" w:hAnsi="Times New Roman" w:cs="Times New Roman"/>
          <w:b/>
          <w:bCs/>
          <w:kern w:val="0"/>
          <w:sz w:val="24"/>
          <w:szCs w:val="20"/>
          <w:lang w:val="en-GB" w:eastAsia="fr-BE"/>
          <w14:ligatures w14:val="none"/>
        </w:rPr>
        <w:t>***</w:t>
      </w:r>
    </w:p>
    <w:p w14:paraId="34EA1BD0" w14:textId="2E818808" w:rsidR="00716C2B" w:rsidRDefault="00136C00" w:rsidP="00136C00">
      <w:pPr>
        <w:pStyle w:val="Heading2"/>
        <w:rPr>
          <w:rStyle w:val="normaltextrun"/>
          <w:rFonts w:ascii="Times New Roman" w:hAnsi="Times New Roman" w:cs="Times New Roman"/>
          <w:color w:val="000000"/>
          <w:sz w:val="24"/>
          <w:szCs w:val="24"/>
          <w:shd w:val="clear" w:color="auto" w:fill="FFFFFF"/>
          <w:lang w:val="en-GB"/>
        </w:rPr>
      </w:pPr>
      <w:r w:rsidRPr="00136C00">
        <w:rPr>
          <w:rStyle w:val="normaltextrun"/>
          <w:rFonts w:ascii="Times New Roman" w:hAnsi="Times New Roman" w:cs="Times New Roman"/>
          <w:color w:val="000000"/>
          <w:sz w:val="24"/>
          <w:szCs w:val="24"/>
          <w:shd w:val="clear" w:color="auto" w:fill="FFFFFF"/>
        </w:rPr>
        <w:lastRenderedPageBreak/>
        <w:t xml:space="preserve">While we welcome and remain of course open to contributions and comments, we would be grateful for receiving them ideally </w:t>
      </w:r>
      <w:r w:rsidRPr="00136C00">
        <w:rPr>
          <w:rStyle w:val="normaltextrun"/>
          <w:rFonts w:ascii="Times New Roman" w:hAnsi="Times New Roman" w:cs="Times New Roman"/>
          <w:color w:val="000000"/>
          <w:sz w:val="24"/>
          <w:szCs w:val="24"/>
          <w:shd w:val="clear" w:color="auto" w:fill="FFFFFF"/>
          <w:lang w:val="en-GB"/>
        </w:rPr>
        <w:t xml:space="preserve">by </w:t>
      </w:r>
      <w:r w:rsidRPr="00136C00">
        <w:rPr>
          <w:rStyle w:val="normaltextrun"/>
          <w:rFonts w:ascii="Times New Roman" w:hAnsi="Times New Roman" w:cs="Times New Roman"/>
          <w:b/>
          <w:bCs/>
          <w:color w:val="000000"/>
          <w:sz w:val="24"/>
          <w:szCs w:val="24"/>
          <w:u w:val="single"/>
          <w:shd w:val="clear" w:color="auto" w:fill="FFFFFF"/>
          <w:lang w:val="en-GB"/>
        </w:rPr>
        <w:t>31 May 2025</w:t>
      </w:r>
      <w:r w:rsidRPr="00136C00">
        <w:rPr>
          <w:rStyle w:val="normaltextrun"/>
          <w:rFonts w:ascii="Times New Roman" w:hAnsi="Times New Roman" w:cs="Times New Roman"/>
          <w:color w:val="000000"/>
          <w:sz w:val="24"/>
          <w:szCs w:val="24"/>
          <w:shd w:val="clear" w:color="auto" w:fill="FFFFFF"/>
          <w:lang w:val="en-GB"/>
        </w:rPr>
        <w:t>, via e-mail to</w:t>
      </w:r>
      <w:r w:rsidR="00C45682" w:rsidRPr="00C45682">
        <w:rPr>
          <w:rStyle w:val="normaltextrun"/>
          <w:rFonts w:ascii="Times New Roman" w:hAnsi="Times New Roman" w:cs="Times New Roman"/>
          <w:color w:val="000000"/>
          <w:sz w:val="24"/>
          <w:szCs w:val="24"/>
          <w:shd w:val="clear" w:color="auto" w:fill="FFFFFF"/>
          <w:lang w:val="en-GB"/>
        </w:rPr>
        <w:t xml:space="preserve">: </w:t>
      </w:r>
      <w:hyperlink r:id="rId11" w:history="1">
        <w:r w:rsidR="00716C2B" w:rsidRPr="00755C8A">
          <w:rPr>
            <w:rStyle w:val="Hyperlink"/>
            <w:rFonts w:ascii="Times New Roman" w:hAnsi="Times New Roman" w:cs="Times New Roman"/>
            <w:sz w:val="24"/>
            <w:szCs w:val="24"/>
            <w:shd w:val="clear" w:color="auto" w:fill="FFFFFF"/>
            <w:lang w:val="en-GB"/>
          </w:rPr>
          <w:t>GROW-CHEM-MEETINGS@ec.europa.eu</w:t>
        </w:r>
      </w:hyperlink>
    </w:p>
    <w:p w14:paraId="5F65FA3B" w14:textId="6B72F9E8" w:rsidR="00B72A76" w:rsidRPr="00136C00" w:rsidRDefault="00136C00" w:rsidP="00136C00">
      <w:pPr>
        <w:pStyle w:val="Heading2"/>
        <w:rPr>
          <w:rFonts w:ascii="Times New Roman" w:hAnsi="Times New Roman" w:cs="Times New Roman"/>
          <w:sz w:val="24"/>
          <w:szCs w:val="24"/>
        </w:rPr>
      </w:pPr>
      <w:r w:rsidRPr="00136C00">
        <w:rPr>
          <w:rStyle w:val="eop"/>
          <w:rFonts w:ascii="Times New Roman" w:hAnsi="Times New Roman" w:cs="Times New Roman"/>
          <w:color w:val="467886"/>
          <w:sz w:val="24"/>
          <w:szCs w:val="24"/>
          <w:shd w:val="clear" w:color="auto" w:fill="FFFFFF"/>
        </w:rPr>
        <w:t> </w:t>
      </w:r>
    </w:p>
    <w:sectPr w:rsidR="00B72A76" w:rsidRPr="00136C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13E1" w14:textId="77777777" w:rsidR="00C35277" w:rsidRDefault="00C35277" w:rsidP="00615875">
      <w:pPr>
        <w:spacing w:after="0" w:line="240" w:lineRule="auto"/>
      </w:pPr>
      <w:r>
        <w:separator/>
      </w:r>
    </w:p>
  </w:endnote>
  <w:endnote w:type="continuationSeparator" w:id="0">
    <w:p w14:paraId="78DA404D" w14:textId="77777777" w:rsidR="00C35277" w:rsidRDefault="00C35277" w:rsidP="0061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BB16" w14:textId="77777777" w:rsidR="00615875" w:rsidRDefault="00615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266428"/>
      <w:docPartObj>
        <w:docPartGallery w:val="Page Numbers (Bottom of Page)"/>
        <w:docPartUnique/>
      </w:docPartObj>
    </w:sdtPr>
    <w:sdtEndPr>
      <w:rPr>
        <w:noProof/>
      </w:rPr>
    </w:sdtEndPr>
    <w:sdtContent>
      <w:p w14:paraId="628CEBE9" w14:textId="47302493" w:rsidR="00615875" w:rsidRDefault="006158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E32D8A" w14:textId="77777777" w:rsidR="00615875" w:rsidRDefault="00615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C262" w14:textId="77777777" w:rsidR="00615875" w:rsidRDefault="00615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937A" w14:textId="77777777" w:rsidR="00C35277" w:rsidRDefault="00C35277" w:rsidP="00615875">
      <w:pPr>
        <w:spacing w:after="0" w:line="240" w:lineRule="auto"/>
      </w:pPr>
      <w:r>
        <w:separator/>
      </w:r>
    </w:p>
  </w:footnote>
  <w:footnote w:type="continuationSeparator" w:id="0">
    <w:p w14:paraId="03501F53" w14:textId="77777777" w:rsidR="00C35277" w:rsidRDefault="00C35277" w:rsidP="00615875">
      <w:pPr>
        <w:spacing w:after="0" w:line="240" w:lineRule="auto"/>
      </w:pPr>
      <w:r>
        <w:continuationSeparator/>
      </w:r>
    </w:p>
  </w:footnote>
  <w:footnote w:id="1">
    <w:p w14:paraId="130D0702" w14:textId="19A1425D" w:rsidR="003C2D62" w:rsidRDefault="003C2D62">
      <w:pPr>
        <w:pStyle w:val="FootnoteText"/>
      </w:pPr>
      <w:r>
        <w:rPr>
          <w:rStyle w:val="FootnoteReference"/>
        </w:rPr>
        <w:footnoteRef/>
      </w:r>
      <w:r>
        <w:t xml:space="preserve"> </w:t>
      </w:r>
      <w:hyperlink r:id="rId1" w:history="1">
        <w:r>
          <w:rPr>
            <w:rStyle w:val="Hyperlink"/>
          </w:rPr>
          <w:t>Cosmetic Products Regulation – evaluation</w:t>
        </w:r>
      </w:hyperlink>
    </w:p>
  </w:footnote>
  <w:footnote w:id="2">
    <w:p w14:paraId="6D2A0885" w14:textId="006A8E91" w:rsidR="00E87725" w:rsidRPr="00E87725" w:rsidRDefault="00E87725">
      <w:pPr>
        <w:pStyle w:val="FootnoteText"/>
      </w:pPr>
      <w:r>
        <w:rPr>
          <w:rStyle w:val="FootnoteReference"/>
        </w:rPr>
        <w:footnoteRef/>
      </w:r>
      <w:r>
        <w:t xml:space="preserve"> </w:t>
      </w:r>
      <w:r w:rsidRPr="00E87725">
        <w:t>https://ec.europa.eu/docsroom/documents/39989</w:t>
      </w:r>
    </w:p>
  </w:footnote>
  <w:footnote w:id="3">
    <w:p w14:paraId="41721DCF" w14:textId="0F10B7AA" w:rsidR="00716C2B" w:rsidRDefault="00716C2B">
      <w:pPr>
        <w:pStyle w:val="FootnoteText"/>
      </w:pPr>
      <w:r>
        <w:rPr>
          <w:rStyle w:val="FootnoteReference"/>
        </w:rPr>
        <w:footnoteRef/>
      </w:r>
      <w:r>
        <w:t xml:space="preserve"> Existing Cosmetic Ingredients database (</w:t>
      </w:r>
      <w:r w:rsidRPr="00716C2B">
        <w:t>CosIng</w:t>
      </w:r>
      <w:r>
        <w:t>) provides</w:t>
      </w:r>
      <w:r w:rsidRPr="00716C2B">
        <w:t xml:space="preserve"> information on cosmetic substances and ingredients </w:t>
      </w:r>
      <w:r>
        <w:t xml:space="preserve">including </w:t>
      </w:r>
      <w:r w:rsidRPr="00716C2B">
        <w:t>frequently updated</w:t>
      </w:r>
      <w:r>
        <w:t xml:space="preserve"> </w:t>
      </w:r>
      <w:r w:rsidRPr="00716C2B">
        <w:t>common ingredients names</w:t>
      </w:r>
      <w:r>
        <w:t xml:space="preserve">. </w:t>
      </w:r>
      <w:r w:rsidRPr="00716C2B">
        <w:t xml:space="preserve"> </w:t>
      </w:r>
    </w:p>
  </w:footnote>
  <w:footnote w:id="4">
    <w:p w14:paraId="4EF18A0C" w14:textId="0AF465CB" w:rsidR="00D10ABC" w:rsidRDefault="00D10ABC">
      <w:pPr>
        <w:pStyle w:val="FootnoteText"/>
      </w:pPr>
      <w:r>
        <w:rPr>
          <w:rStyle w:val="FootnoteReference"/>
        </w:rPr>
        <w:footnoteRef/>
      </w:r>
      <w:r>
        <w:t xml:space="preserve"> </w:t>
      </w:r>
      <w:r w:rsidRPr="00D10ABC">
        <w:t>https://webgate.ec.europa.eu/single-market-compliance-space/market-surveillance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86EB" w14:textId="77777777" w:rsidR="00615875" w:rsidRDefault="00615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1450" w14:textId="77777777" w:rsidR="00615875" w:rsidRDefault="00615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4603" w14:textId="77777777" w:rsidR="00615875" w:rsidRDefault="00615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8B1"/>
    <w:multiLevelType w:val="hybridMultilevel"/>
    <w:tmpl w:val="146E1836"/>
    <w:lvl w:ilvl="0" w:tplc="18090017">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CE57E9"/>
    <w:multiLevelType w:val="multilevel"/>
    <w:tmpl w:val="8B52639A"/>
    <w:lvl w:ilvl="0">
      <w:start w:val="1"/>
      <w:numFmt w:val="lowerLetter"/>
      <w:lvlText w:val="%1)"/>
      <w:lvlJc w:val="left"/>
      <w:pPr>
        <w:tabs>
          <w:tab w:val="num" w:pos="1429"/>
        </w:tabs>
        <w:ind w:left="1429" w:hanging="709"/>
      </w:pPr>
    </w:lvl>
    <w:lvl w:ilvl="1">
      <w:start w:val="1"/>
      <w:numFmt w:val="lowerLetter"/>
      <w:lvlText w:val="(%2)"/>
      <w:lvlJc w:val="left"/>
      <w:pPr>
        <w:tabs>
          <w:tab w:val="num" w:pos="2137"/>
        </w:tabs>
        <w:ind w:left="2137" w:hanging="708"/>
      </w:pPr>
      <w:rPr>
        <w:b w:val="0"/>
        <w:bCs/>
      </w:rPr>
    </w:lvl>
    <w:lvl w:ilvl="2">
      <w:start w:val="1"/>
      <w:numFmt w:val="lowerLetter"/>
      <w:lvlText w:val="%3)"/>
      <w:lvlJc w:val="left"/>
      <w:pPr>
        <w:ind w:left="2497" w:hanging="360"/>
      </w:pPr>
    </w:lvl>
    <w:lvl w:ilvl="3">
      <w:start w:val="1"/>
      <w:numFmt w:val="bullet"/>
      <w:lvlText w:val=""/>
      <w:lvlJc w:val="left"/>
      <w:pPr>
        <w:tabs>
          <w:tab w:val="num" w:pos="3555"/>
        </w:tabs>
        <w:ind w:left="355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A075B23"/>
    <w:multiLevelType w:val="hybridMultilevel"/>
    <w:tmpl w:val="C956849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C85847"/>
    <w:multiLevelType w:val="hybridMultilevel"/>
    <w:tmpl w:val="97F07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A6632F"/>
    <w:multiLevelType w:val="hybridMultilevel"/>
    <w:tmpl w:val="A06E0CB8"/>
    <w:lvl w:ilvl="0" w:tplc="F0D47A8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FF40DEE"/>
    <w:multiLevelType w:val="hybridMultilevel"/>
    <w:tmpl w:val="65223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3702C"/>
    <w:multiLevelType w:val="hybridMultilevel"/>
    <w:tmpl w:val="9EDAAFE2"/>
    <w:lvl w:ilvl="0" w:tplc="34749FF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B34185"/>
    <w:multiLevelType w:val="multilevel"/>
    <w:tmpl w:val="E8CA4AD0"/>
    <w:lvl w:ilvl="0">
      <w:start w:val="1"/>
      <w:numFmt w:val="lowerLetter"/>
      <w:lvlText w:val="%1)"/>
      <w:lvlJc w:val="left"/>
      <w:pPr>
        <w:tabs>
          <w:tab w:val="num" w:pos="1429"/>
        </w:tabs>
        <w:ind w:left="1429" w:hanging="709"/>
      </w:pPr>
    </w:lvl>
    <w:lvl w:ilvl="1">
      <w:start w:val="1"/>
      <w:numFmt w:val="bullet"/>
      <w:lvlText w:val=""/>
      <w:lvlJc w:val="left"/>
      <w:pPr>
        <w:ind w:left="1789" w:hanging="360"/>
      </w:pPr>
      <w:rPr>
        <w:rFonts w:ascii="Symbol" w:hAnsi="Symbol" w:hint="default"/>
      </w:rPr>
    </w:lvl>
    <w:lvl w:ilvl="2">
      <w:start w:val="1"/>
      <w:numFmt w:val="lowerLetter"/>
      <w:lvlText w:val="%3)"/>
      <w:lvlJc w:val="left"/>
      <w:pPr>
        <w:ind w:left="2497" w:hanging="360"/>
      </w:pPr>
    </w:lvl>
    <w:lvl w:ilvl="3">
      <w:start w:val="1"/>
      <w:numFmt w:val="bullet"/>
      <w:lvlText w:val=""/>
      <w:lvlJc w:val="left"/>
      <w:pPr>
        <w:tabs>
          <w:tab w:val="num" w:pos="3555"/>
        </w:tabs>
        <w:ind w:left="355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37190A2A"/>
    <w:multiLevelType w:val="hybridMultilevel"/>
    <w:tmpl w:val="564AC452"/>
    <w:lvl w:ilvl="0" w:tplc="E80CAD1A">
      <w:start w:val="33"/>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E16DFA"/>
    <w:multiLevelType w:val="multilevel"/>
    <w:tmpl w:val="8B52639A"/>
    <w:lvl w:ilvl="0">
      <w:start w:val="1"/>
      <w:numFmt w:val="lowerLetter"/>
      <w:lvlText w:val="%1)"/>
      <w:lvlJc w:val="left"/>
      <w:pPr>
        <w:tabs>
          <w:tab w:val="num" w:pos="1429"/>
        </w:tabs>
        <w:ind w:left="1429" w:hanging="709"/>
      </w:pPr>
    </w:lvl>
    <w:lvl w:ilvl="1">
      <w:start w:val="1"/>
      <w:numFmt w:val="lowerLetter"/>
      <w:lvlText w:val="(%2)"/>
      <w:lvlJc w:val="left"/>
      <w:pPr>
        <w:tabs>
          <w:tab w:val="num" w:pos="2137"/>
        </w:tabs>
        <w:ind w:left="2137" w:hanging="708"/>
      </w:pPr>
      <w:rPr>
        <w:b w:val="0"/>
        <w:bCs/>
      </w:rPr>
    </w:lvl>
    <w:lvl w:ilvl="2">
      <w:start w:val="1"/>
      <w:numFmt w:val="lowerLetter"/>
      <w:lvlText w:val="%3)"/>
      <w:lvlJc w:val="left"/>
      <w:pPr>
        <w:ind w:left="2497" w:hanging="360"/>
      </w:pPr>
    </w:lvl>
    <w:lvl w:ilvl="3">
      <w:start w:val="1"/>
      <w:numFmt w:val="bullet"/>
      <w:lvlText w:val=""/>
      <w:lvlJc w:val="left"/>
      <w:pPr>
        <w:tabs>
          <w:tab w:val="num" w:pos="3555"/>
        </w:tabs>
        <w:ind w:left="355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43512E7D"/>
    <w:multiLevelType w:val="hybridMultilevel"/>
    <w:tmpl w:val="BD1C5F52"/>
    <w:lvl w:ilvl="0" w:tplc="9050FA7A">
      <w:start w:val="1"/>
      <w:numFmt w:val="upperRoman"/>
      <w:lvlText w:val="%1."/>
      <w:lvlJc w:val="left"/>
      <w:pPr>
        <w:ind w:left="1556" w:hanging="720"/>
      </w:pPr>
      <w:rPr>
        <w:rFonts w:hint="default"/>
      </w:rPr>
    </w:lvl>
    <w:lvl w:ilvl="1" w:tplc="18090019" w:tentative="1">
      <w:start w:val="1"/>
      <w:numFmt w:val="lowerLetter"/>
      <w:lvlText w:val="%2."/>
      <w:lvlJc w:val="left"/>
      <w:pPr>
        <w:ind w:left="1916" w:hanging="360"/>
      </w:pPr>
    </w:lvl>
    <w:lvl w:ilvl="2" w:tplc="1809001B" w:tentative="1">
      <w:start w:val="1"/>
      <w:numFmt w:val="lowerRoman"/>
      <w:lvlText w:val="%3."/>
      <w:lvlJc w:val="right"/>
      <w:pPr>
        <w:ind w:left="2636" w:hanging="180"/>
      </w:pPr>
    </w:lvl>
    <w:lvl w:ilvl="3" w:tplc="1809000F" w:tentative="1">
      <w:start w:val="1"/>
      <w:numFmt w:val="decimal"/>
      <w:lvlText w:val="%4."/>
      <w:lvlJc w:val="left"/>
      <w:pPr>
        <w:ind w:left="3356" w:hanging="360"/>
      </w:pPr>
    </w:lvl>
    <w:lvl w:ilvl="4" w:tplc="18090019" w:tentative="1">
      <w:start w:val="1"/>
      <w:numFmt w:val="lowerLetter"/>
      <w:lvlText w:val="%5."/>
      <w:lvlJc w:val="left"/>
      <w:pPr>
        <w:ind w:left="4076" w:hanging="360"/>
      </w:pPr>
    </w:lvl>
    <w:lvl w:ilvl="5" w:tplc="1809001B" w:tentative="1">
      <w:start w:val="1"/>
      <w:numFmt w:val="lowerRoman"/>
      <w:lvlText w:val="%6."/>
      <w:lvlJc w:val="right"/>
      <w:pPr>
        <w:ind w:left="4796" w:hanging="180"/>
      </w:pPr>
    </w:lvl>
    <w:lvl w:ilvl="6" w:tplc="1809000F" w:tentative="1">
      <w:start w:val="1"/>
      <w:numFmt w:val="decimal"/>
      <w:lvlText w:val="%7."/>
      <w:lvlJc w:val="left"/>
      <w:pPr>
        <w:ind w:left="5516" w:hanging="360"/>
      </w:pPr>
    </w:lvl>
    <w:lvl w:ilvl="7" w:tplc="18090019" w:tentative="1">
      <w:start w:val="1"/>
      <w:numFmt w:val="lowerLetter"/>
      <w:lvlText w:val="%8."/>
      <w:lvlJc w:val="left"/>
      <w:pPr>
        <w:ind w:left="6236" w:hanging="360"/>
      </w:pPr>
    </w:lvl>
    <w:lvl w:ilvl="8" w:tplc="1809001B" w:tentative="1">
      <w:start w:val="1"/>
      <w:numFmt w:val="lowerRoman"/>
      <w:lvlText w:val="%9."/>
      <w:lvlJc w:val="right"/>
      <w:pPr>
        <w:ind w:left="6956" w:hanging="180"/>
      </w:pPr>
    </w:lvl>
  </w:abstractNum>
  <w:abstractNum w:abstractNumId="11" w15:restartNumberingAfterBreak="0">
    <w:nsid w:val="4A556310"/>
    <w:multiLevelType w:val="hybridMultilevel"/>
    <w:tmpl w:val="8E6E8838"/>
    <w:lvl w:ilvl="0" w:tplc="ABDCC64A">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F7F780D"/>
    <w:multiLevelType w:val="hybridMultilevel"/>
    <w:tmpl w:val="DA3CC5C2"/>
    <w:lvl w:ilvl="0" w:tplc="1809000F">
      <w:start w:val="1"/>
      <w:numFmt w:val="decimal"/>
      <w:lvlText w:val="%1."/>
      <w:lvlJc w:val="left"/>
      <w:pPr>
        <w:ind w:left="1196" w:hanging="360"/>
      </w:pPr>
    </w:lvl>
    <w:lvl w:ilvl="1" w:tplc="18090019" w:tentative="1">
      <w:start w:val="1"/>
      <w:numFmt w:val="lowerLetter"/>
      <w:lvlText w:val="%2."/>
      <w:lvlJc w:val="left"/>
      <w:pPr>
        <w:ind w:left="1916" w:hanging="360"/>
      </w:pPr>
    </w:lvl>
    <w:lvl w:ilvl="2" w:tplc="1809001B" w:tentative="1">
      <w:start w:val="1"/>
      <w:numFmt w:val="lowerRoman"/>
      <w:lvlText w:val="%3."/>
      <w:lvlJc w:val="right"/>
      <w:pPr>
        <w:ind w:left="2636" w:hanging="180"/>
      </w:pPr>
    </w:lvl>
    <w:lvl w:ilvl="3" w:tplc="1809000F" w:tentative="1">
      <w:start w:val="1"/>
      <w:numFmt w:val="decimal"/>
      <w:lvlText w:val="%4."/>
      <w:lvlJc w:val="left"/>
      <w:pPr>
        <w:ind w:left="3356" w:hanging="360"/>
      </w:pPr>
    </w:lvl>
    <w:lvl w:ilvl="4" w:tplc="18090019" w:tentative="1">
      <w:start w:val="1"/>
      <w:numFmt w:val="lowerLetter"/>
      <w:lvlText w:val="%5."/>
      <w:lvlJc w:val="left"/>
      <w:pPr>
        <w:ind w:left="4076" w:hanging="360"/>
      </w:pPr>
    </w:lvl>
    <w:lvl w:ilvl="5" w:tplc="1809001B" w:tentative="1">
      <w:start w:val="1"/>
      <w:numFmt w:val="lowerRoman"/>
      <w:lvlText w:val="%6."/>
      <w:lvlJc w:val="right"/>
      <w:pPr>
        <w:ind w:left="4796" w:hanging="180"/>
      </w:pPr>
    </w:lvl>
    <w:lvl w:ilvl="6" w:tplc="1809000F" w:tentative="1">
      <w:start w:val="1"/>
      <w:numFmt w:val="decimal"/>
      <w:lvlText w:val="%7."/>
      <w:lvlJc w:val="left"/>
      <w:pPr>
        <w:ind w:left="5516" w:hanging="360"/>
      </w:pPr>
    </w:lvl>
    <w:lvl w:ilvl="7" w:tplc="18090019" w:tentative="1">
      <w:start w:val="1"/>
      <w:numFmt w:val="lowerLetter"/>
      <w:lvlText w:val="%8."/>
      <w:lvlJc w:val="left"/>
      <w:pPr>
        <w:ind w:left="6236" w:hanging="360"/>
      </w:pPr>
    </w:lvl>
    <w:lvl w:ilvl="8" w:tplc="1809001B" w:tentative="1">
      <w:start w:val="1"/>
      <w:numFmt w:val="lowerRoman"/>
      <w:lvlText w:val="%9."/>
      <w:lvlJc w:val="right"/>
      <w:pPr>
        <w:ind w:left="6956" w:hanging="180"/>
      </w:pPr>
    </w:lvl>
  </w:abstractNum>
  <w:abstractNum w:abstractNumId="13" w15:restartNumberingAfterBreak="0">
    <w:nsid w:val="52BC2C38"/>
    <w:multiLevelType w:val="hybridMultilevel"/>
    <w:tmpl w:val="575E260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57355BDE"/>
    <w:multiLevelType w:val="hybridMultilevel"/>
    <w:tmpl w:val="1598A6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CE749F7"/>
    <w:multiLevelType w:val="hybridMultilevel"/>
    <w:tmpl w:val="F26C9DBE"/>
    <w:lvl w:ilvl="0" w:tplc="3F3AF372">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EC58E8"/>
    <w:multiLevelType w:val="hybridMultilevel"/>
    <w:tmpl w:val="1A62927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C3556E3"/>
    <w:multiLevelType w:val="multilevel"/>
    <w:tmpl w:val="8B52639A"/>
    <w:lvl w:ilvl="0">
      <w:start w:val="1"/>
      <w:numFmt w:val="lowerLetter"/>
      <w:lvlText w:val="%1)"/>
      <w:lvlJc w:val="left"/>
      <w:pPr>
        <w:tabs>
          <w:tab w:val="num" w:pos="1429"/>
        </w:tabs>
        <w:ind w:left="1429" w:hanging="709"/>
      </w:pPr>
    </w:lvl>
    <w:lvl w:ilvl="1">
      <w:start w:val="1"/>
      <w:numFmt w:val="lowerLetter"/>
      <w:lvlText w:val="(%2)"/>
      <w:lvlJc w:val="left"/>
      <w:pPr>
        <w:tabs>
          <w:tab w:val="num" w:pos="2137"/>
        </w:tabs>
        <w:ind w:left="2137" w:hanging="708"/>
      </w:pPr>
      <w:rPr>
        <w:b w:val="0"/>
        <w:bCs/>
      </w:rPr>
    </w:lvl>
    <w:lvl w:ilvl="2">
      <w:start w:val="1"/>
      <w:numFmt w:val="lowerLetter"/>
      <w:lvlText w:val="%3)"/>
      <w:lvlJc w:val="left"/>
      <w:pPr>
        <w:ind w:left="2497" w:hanging="360"/>
      </w:pPr>
    </w:lvl>
    <w:lvl w:ilvl="3">
      <w:start w:val="1"/>
      <w:numFmt w:val="bullet"/>
      <w:lvlText w:val=""/>
      <w:lvlJc w:val="left"/>
      <w:pPr>
        <w:tabs>
          <w:tab w:val="num" w:pos="3555"/>
        </w:tabs>
        <w:ind w:left="355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16cid:durableId="282617497">
    <w:abstractNumId w:val="17"/>
  </w:num>
  <w:num w:numId="2" w16cid:durableId="1370565970">
    <w:abstractNumId w:val="1"/>
  </w:num>
  <w:num w:numId="3" w16cid:durableId="1081876628">
    <w:abstractNumId w:val="7"/>
  </w:num>
  <w:num w:numId="4" w16cid:durableId="1223902526">
    <w:abstractNumId w:val="6"/>
  </w:num>
  <w:num w:numId="5" w16cid:durableId="554506874">
    <w:abstractNumId w:val="4"/>
  </w:num>
  <w:num w:numId="6" w16cid:durableId="327172071">
    <w:abstractNumId w:val="12"/>
  </w:num>
  <w:num w:numId="7" w16cid:durableId="988366360">
    <w:abstractNumId w:val="3"/>
  </w:num>
  <w:num w:numId="8" w16cid:durableId="286856534">
    <w:abstractNumId w:val="10"/>
  </w:num>
  <w:num w:numId="9" w16cid:durableId="2054843557">
    <w:abstractNumId w:val="14"/>
  </w:num>
  <w:num w:numId="10" w16cid:durableId="1502237531">
    <w:abstractNumId w:val="0"/>
  </w:num>
  <w:num w:numId="11" w16cid:durableId="1343168476">
    <w:abstractNumId w:val="9"/>
  </w:num>
  <w:num w:numId="12" w16cid:durableId="2036497558">
    <w:abstractNumId w:val="16"/>
  </w:num>
  <w:num w:numId="13" w16cid:durableId="1700231928">
    <w:abstractNumId w:val="11"/>
  </w:num>
  <w:num w:numId="14" w16cid:durableId="445319667">
    <w:abstractNumId w:val="2"/>
  </w:num>
  <w:num w:numId="15" w16cid:durableId="831025688">
    <w:abstractNumId w:val="13"/>
  </w:num>
  <w:num w:numId="16" w16cid:durableId="387338080">
    <w:abstractNumId w:val="5"/>
  </w:num>
  <w:num w:numId="17" w16cid:durableId="1046371845">
    <w:abstractNumId w:val="15"/>
  </w:num>
  <w:num w:numId="18" w16cid:durableId="1586845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72A76"/>
    <w:rsid w:val="000229ED"/>
    <w:rsid w:val="000372E7"/>
    <w:rsid w:val="0004420A"/>
    <w:rsid w:val="000A3749"/>
    <w:rsid w:val="000E2A56"/>
    <w:rsid w:val="000E3F0B"/>
    <w:rsid w:val="000E5206"/>
    <w:rsid w:val="000F4D07"/>
    <w:rsid w:val="001067FD"/>
    <w:rsid w:val="00106FE0"/>
    <w:rsid w:val="00136C00"/>
    <w:rsid w:val="00140466"/>
    <w:rsid w:val="001454A4"/>
    <w:rsid w:val="00151925"/>
    <w:rsid w:val="00163942"/>
    <w:rsid w:val="00185757"/>
    <w:rsid w:val="001A456A"/>
    <w:rsid w:val="001B4FB7"/>
    <w:rsid w:val="001D12CD"/>
    <w:rsid w:val="001D6D7D"/>
    <w:rsid w:val="001E417D"/>
    <w:rsid w:val="001E73D4"/>
    <w:rsid w:val="00204610"/>
    <w:rsid w:val="0020703B"/>
    <w:rsid w:val="00281598"/>
    <w:rsid w:val="002842D8"/>
    <w:rsid w:val="00287C1B"/>
    <w:rsid w:val="002A38A7"/>
    <w:rsid w:val="002C5F5B"/>
    <w:rsid w:val="002E41F5"/>
    <w:rsid w:val="0034180D"/>
    <w:rsid w:val="00347C26"/>
    <w:rsid w:val="00352B7F"/>
    <w:rsid w:val="0036670C"/>
    <w:rsid w:val="00374ED5"/>
    <w:rsid w:val="003C2D62"/>
    <w:rsid w:val="003D2787"/>
    <w:rsid w:val="003E19CE"/>
    <w:rsid w:val="003F4725"/>
    <w:rsid w:val="00413F84"/>
    <w:rsid w:val="00414598"/>
    <w:rsid w:val="00454C0C"/>
    <w:rsid w:val="004732A8"/>
    <w:rsid w:val="00521E85"/>
    <w:rsid w:val="0055449D"/>
    <w:rsid w:val="005570AA"/>
    <w:rsid w:val="00571CE7"/>
    <w:rsid w:val="005805F0"/>
    <w:rsid w:val="005A6FF2"/>
    <w:rsid w:val="005C56A5"/>
    <w:rsid w:val="005E0C5A"/>
    <w:rsid w:val="005E3785"/>
    <w:rsid w:val="005E562B"/>
    <w:rsid w:val="00604E8D"/>
    <w:rsid w:val="00615875"/>
    <w:rsid w:val="00663011"/>
    <w:rsid w:val="006855F8"/>
    <w:rsid w:val="00686ED7"/>
    <w:rsid w:val="006F2A5A"/>
    <w:rsid w:val="00712A1F"/>
    <w:rsid w:val="00716C2B"/>
    <w:rsid w:val="00736CD3"/>
    <w:rsid w:val="00774CD5"/>
    <w:rsid w:val="00787C2E"/>
    <w:rsid w:val="007D15E7"/>
    <w:rsid w:val="007E5E2B"/>
    <w:rsid w:val="007F668F"/>
    <w:rsid w:val="0081627B"/>
    <w:rsid w:val="008449BC"/>
    <w:rsid w:val="00856E30"/>
    <w:rsid w:val="008C7899"/>
    <w:rsid w:val="008C7947"/>
    <w:rsid w:val="008E4C9F"/>
    <w:rsid w:val="008F57C2"/>
    <w:rsid w:val="00910F00"/>
    <w:rsid w:val="0092479B"/>
    <w:rsid w:val="00937E8A"/>
    <w:rsid w:val="00975CD1"/>
    <w:rsid w:val="009E15EE"/>
    <w:rsid w:val="009E68F8"/>
    <w:rsid w:val="00A12604"/>
    <w:rsid w:val="00A474C1"/>
    <w:rsid w:val="00A60A20"/>
    <w:rsid w:val="00A60EB1"/>
    <w:rsid w:val="00AE51F2"/>
    <w:rsid w:val="00AE7E6F"/>
    <w:rsid w:val="00B05E73"/>
    <w:rsid w:val="00B5425E"/>
    <w:rsid w:val="00B72A76"/>
    <w:rsid w:val="00B922B1"/>
    <w:rsid w:val="00BE3C0C"/>
    <w:rsid w:val="00BF6EB9"/>
    <w:rsid w:val="00C3245A"/>
    <w:rsid w:val="00C35277"/>
    <w:rsid w:val="00C35B57"/>
    <w:rsid w:val="00C40ED7"/>
    <w:rsid w:val="00C45682"/>
    <w:rsid w:val="00C470E7"/>
    <w:rsid w:val="00C76DE3"/>
    <w:rsid w:val="00C91C25"/>
    <w:rsid w:val="00CB1729"/>
    <w:rsid w:val="00CD2686"/>
    <w:rsid w:val="00CD3359"/>
    <w:rsid w:val="00D10ABC"/>
    <w:rsid w:val="00D12610"/>
    <w:rsid w:val="00D22DB6"/>
    <w:rsid w:val="00D257FB"/>
    <w:rsid w:val="00D55B96"/>
    <w:rsid w:val="00D86D39"/>
    <w:rsid w:val="00DB164E"/>
    <w:rsid w:val="00DB2B84"/>
    <w:rsid w:val="00DD18C4"/>
    <w:rsid w:val="00E23BC3"/>
    <w:rsid w:val="00E64980"/>
    <w:rsid w:val="00E80C34"/>
    <w:rsid w:val="00E83944"/>
    <w:rsid w:val="00E87725"/>
    <w:rsid w:val="00EC4B0D"/>
    <w:rsid w:val="00EF28E5"/>
    <w:rsid w:val="00EF5700"/>
    <w:rsid w:val="00EF6081"/>
    <w:rsid w:val="00F26C23"/>
    <w:rsid w:val="00F460FB"/>
    <w:rsid w:val="00F52DC1"/>
    <w:rsid w:val="00F8058E"/>
    <w:rsid w:val="00FA3E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405D"/>
  <w15:chartTrackingRefBased/>
  <w15:docId w15:val="{08682FB3-1A32-487B-9037-1F83B03B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2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2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A76"/>
    <w:rPr>
      <w:rFonts w:eastAsiaTheme="majorEastAsia" w:cstheme="majorBidi"/>
      <w:color w:val="272727" w:themeColor="text1" w:themeTint="D8"/>
    </w:rPr>
  </w:style>
  <w:style w:type="paragraph" w:styleId="Title">
    <w:name w:val="Title"/>
    <w:basedOn w:val="Normal"/>
    <w:next w:val="Normal"/>
    <w:link w:val="TitleChar"/>
    <w:uiPriority w:val="10"/>
    <w:qFormat/>
    <w:rsid w:val="00B72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A76"/>
    <w:pPr>
      <w:spacing w:before="160"/>
      <w:jc w:val="center"/>
    </w:pPr>
    <w:rPr>
      <w:i/>
      <w:iCs/>
      <w:color w:val="404040" w:themeColor="text1" w:themeTint="BF"/>
    </w:rPr>
  </w:style>
  <w:style w:type="character" w:customStyle="1" w:styleId="QuoteChar">
    <w:name w:val="Quote Char"/>
    <w:basedOn w:val="DefaultParagraphFont"/>
    <w:link w:val="Quote"/>
    <w:uiPriority w:val="29"/>
    <w:rsid w:val="00B72A76"/>
    <w:rPr>
      <w:i/>
      <w:iCs/>
      <w:color w:val="404040" w:themeColor="text1" w:themeTint="BF"/>
    </w:rPr>
  </w:style>
  <w:style w:type="paragraph" w:styleId="ListParagraph">
    <w:name w:val="List Paragraph"/>
    <w:basedOn w:val="Normal"/>
    <w:uiPriority w:val="34"/>
    <w:qFormat/>
    <w:rsid w:val="00B72A76"/>
    <w:pPr>
      <w:ind w:left="720"/>
      <w:contextualSpacing/>
    </w:pPr>
  </w:style>
  <w:style w:type="character" w:styleId="IntenseEmphasis">
    <w:name w:val="Intense Emphasis"/>
    <w:basedOn w:val="DefaultParagraphFont"/>
    <w:uiPriority w:val="21"/>
    <w:qFormat/>
    <w:rsid w:val="00B72A76"/>
    <w:rPr>
      <w:i/>
      <w:iCs/>
      <w:color w:val="0F4761" w:themeColor="accent1" w:themeShade="BF"/>
    </w:rPr>
  </w:style>
  <w:style w:type="paragraph" w:styleId="IntenseQuote">
    <w:name w:val="Intense Quote"/>
    <w:basedOn w:val="Normal"/>
    <w:next w:val="Normal"/>
    <w:link w:val="IntenseQuoteChar"/>
    <w:uiPriority w:val="30"/>
    <w:qFormat/>
    <w:rsid w:val="00B72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A76"/>
    <w:rPr>
      <w:i/>
      <w:iCs/>
      <w:color w:val="0F4761" w:themeColor="accent1" w:themeShade="BF"/>
    </w:rPr>
  </w:style>
  <w:style w:type="character" w:styleId="IntenseReference">
    <w:name w:val="Intense Reference"/>
    <w:basedOn w:val="DefaultParagraphFont"/>
    <w:uiPriority w:val="32"/>
    <w:qFormat/>
    <w:rsid w:val="00B72A76"/>
    <w:rPr>
      <w:b/>
      <w:bCs/>
      <w:smallCaps/>
      <w:color w:val="0F4761" w:themeColor="accent1" w:themeShade="BF"/>
      <w:spacing w:val="5"/>
    </w:rPr>
  </w:style>
  <w:style w:type="paragraph" w:styleId="Header">
    <w:name w:val="header"/>
    <w:basedOn w:val="Normal"/>
    <w:link w:val="HeaderChar"/>
    <w:uiPriority w:val="99"/>
    <w:unhideWhenUsed/>
    <w:rsid w:val="00615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875"/>
  </w:style>
  <w:style w:type="paragraph" w:styleId="Footer">
    <w:name w:val="footer"/>
    <w:basedOn w:val="Normal"/>
    <w:link w:val="FooterChar"/>
    <w:uiPriority w:val="99"/>
    <w:unhideWhenUsed/>
    <w:rsid w:val="00615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875"/>
  </w:style>
  <w:style w:type="paragraph" w:styleId="Revision">
    <w:name w:val="Revision"/>
    <w:hidden/>
    <w:uiPriority w:val="99"/>
    <w:semiHidden/>
    <w:rsid w:val="003C2D62"/>
    <w:pPr>
      <w:spacing w:after="0" w:line="240" w:lineRule="auto"/>
    </w:pPr>
  </w:style>
  <w:style w:type="paragraph" w:styleId="FootnoteText">
    <w:name w:val="footnote text"/>
    <w:basedOn w:val="Normal"/>
    <w:link w:val="FootnoteTextChar"/>
    <w:uiPriority w:val="99"/>
    <w:semiHidden/>
    <w:unhideWhenUsed/>
    <w:rsid w:val="003C2D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2D62"/>
    <w:rPr>
      <w:sz w:val="20"/>
      <w:szCs w:val="20"/>
    </w:rPr>
  </w:style>
  <w:style w:type="character" w:styleId="FootnoteReference">
    <w:name w:val="footnote reference"/>
    <w:basedOn w:val="DefaultParagraphFont"/>
    <w:uiPriority w:val="99"/>
    <w:semiHidden/>
    <w:unhideWhenUsed/>
    <w:rsid w:val="003C2D62"/>
    <w:rPr>
      <w:vertAlign w:val="superscript"/>
    </w:rPr>
  </w:style>
  <w:style w:type="character" w:styleId="Hyperlink">
    <w:name w:val="Hyperlink"/>
    <w:basedOn w:val="DefaultParagraphFont"/>
    <w:uiPriority w:val="99"/>
    <w:unhideWhenUsed/>
    <w:rsid w:val="003C2D62"/>
    <w:rPr>
      <w:color w:val="0000FF"/>
      <w:u w:val="single"/>
    </w:rPr>
  </w:style>
  <w:style w:type="character" w:styleId="CommentReference">
    <w:name w:val="annotation reference"/>
    <w:basedOn w:val="DefaultParagraphFont"/>
    <w:uiPriority w:val="99"/>
    <w:semiHidden/>
    <w:unhideWhenUsed/>
    <w:rsid w:val="00B922B1"/>
    <w:rPr>
      <w:sz w:val="16"/>
      <w:szCs w:val="16"/>
    </w:rPr>
  </w:style>
  <w:style w:type="paragraph" w:styleId="CommentText">
    <w:name w:val="annotation text"/>
    <w:basedOn w:val="Normal"/>
    <w:link w:val="CommentTextChar"/>
    <w:uiPriority w:val="99"/>
    <w:unhideWhenUsed/>
    <w:rsid w:val="00B922B1"/>
    <w:pPr>
      <w:spacing w:line="240" w:lineRule="auto"/>
    </w:pPr>
    <w:rPr>
      <w:sz w:val="20"/>
      <w:szCs w:val="20"/>
    </w:rPr>
  </w:style>
  <w:style w:type="character" w:customStyle="1" w:styleId="CommentTextChar">
    <w:name w:val="Comment Text Char"/>
    <w:basedOn w:val="DefaultParagraphFont"/>
    <w:link w:val="CommentText"/>
    <w:uiPriority w:val="99"/>
    <w:rsid w:val="00B922B1"/>
    <w:rPr>
      <w:sz w:val="20"/>
      <w:szCs w:val="20"/>
    </w:rPr>
  </w:style>
  <w:style w:type="paragraph" w:styleId="CommentSubject">
    <w:name w:val="annotation subject"/>
    <w:basedOn w:val="CommentText"/>
    <w:next w:val="CommentText"/>
    <w:link w:val="CommentSubjectChar"/>
    <w:uiPriority w:val="99"/>
    <w:semiHidden/>
    <w:unhideWhenUsed/>
    <w:rsid w:val="00B922B1"/>
    <w:rPr>
      <w:b/>
      <w:bCs/>
    </w:rPr>
  </w:style>
  <w:style w:type="character" w:customStyle="1" w:styleId="CommentSubjectChar">
    <w:name w:val="Comment Subject Char"/>
    <w:basedOn w:val="CommentTextChar"/>
    <w:link w:val="CommentSubject"/>
    <w:uiPriority w:val="99"/>
    <w:semiHidden/>
    <w:rsid w:val="00B922B1"/>
    <w:rPr>
      <w:b/>
      <w:bCs/>
      <w:sz w:val="20"/>
      <w:szCs w:val="20"/>
    </w:rPr>
  </w:style>
  <w:style w:type="table" w:styleId="TableGrid">
    <w:name w:val="Table Grid"/>
    <w:basedOn w:val="TableNormal"/>
    <w:uiPriority w:val="39"/>
    <w:rsid w:val="0010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36C00"/>
  </w:style>
  <w:style w:type="character" w:customStyle="1" w:styleId="eop">
    <w:name w:val="eop"/>
    <w:basedOn w:val="DefaultParagraphFont"/>
    <w:rsid w:val="00136C00"/>
  </w:style>
  <w:style w:type="character" w:styleId="UnresolvedMention">
    <w:name w:val="Unresolved Mention"/>
    <w:basedOn w:val="DefaultParagraphFont"/>
    <w:uiPriority w:val="99"/>
    <w:semiHidden/>
    <w:unhideWhenUsed/>
    <w:rsid w:val="00136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W-CHEM-MEETINGS@ec.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4433-Cosmetic-Products-Regulation-evalua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32563f-66a2-485b-bdea-7667c19b0753">
      <Terms xmlns="http://schemas.microsoft.com/office/infopath/2007/PartnerControls"/>
    </lcf76f155ced4ddcb4097134ff3c332f>
    <TaxCatchAll xmlns="87c780c7-e6aa-48c6-a571-78954b2467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5DE1B7C5C9446AD9592948867661B" ma:contentTypeVersion="18" ma:contentTypeDescription="Crée un document." ma:contentTypeScope="" ma:versionID="f75df1c7a35c182397df10bf9bd7277d">
  <xsd:schema xmlns:xsd="http://www.w3.org/2001/XMLSchema" xmlns:xs="http://www.w3.org/2001/XMLSchema" xmlns:p="http://schemas.microsoft.com/office/2006/metadata/properties" xmlns:ns2="f432563f-66a2-485b-bdea-7667c19b0753" xmlns:ns3="87c780c7-e6aa-48c6-a571-78954b2467e8" targetNamespace="http://schemas.microsoft.com/office/2006/metadata/properties" ma:root="true" ma:fieldsID="fd959166c07262f24231a30114afed76" ns2:_="" ns3:_="">
    <xsd:import namespace="f432563f-66a2-485b-bdea-7667c19b0753"/>
    <xsd:import namespace="87c780c7-e6aa-48c6-a571-78954b2467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2563f-66a2-485b-bdea-7667c19b0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cead506-e50e-4b36-bce0-71f6a127c6a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780c7-e6aa-48c6-a571-78954b2467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cee745a-7e93-44a5-b28c-e00deb25f796}" ma:internalName="TaxCatchAll" ma:showField="CatchAllData" ma:web="87c780c7-e6aa-48c6-a571-78954b246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ED3CC-AC39-4074-8773-70139E7EC256}">
  <ds:schemaRefs>
    <ds:schemaRef ds:uri="http://schemas.microsoft.com/office/2006/metadata/properties"/>
    <ds:schemaRef ds:uri="http://schemas.microsoft.com/office/infopath/2007/PartnerControls"/>
    <ds:schemaRef ds:uri="f432563f-66a2-485b-bdea-7667c19b0753"/>
    <ds:schemaRef ds:uri="87c780c7-e6aa-48c6-a571-78954b2467e8"/>
  </ds:schemaRefs>
</ds:datastoreItem>
</file>

<file path=customXml/itemProps2.xml><?xml version="1.0" encoding="utf-8"?>
<ds:datastoreItem xmlns:ds="http://schemas.openxmlformats.org/officeDocument/2006/customXml" ds:itemID="{D06A88F7-F420-476C-A782-D48D59C09662}">
  <ds:schemaRefs>
    <ds:schemaRef ds:uri="http://schemas.microsoft.com/sharepoint/v3/contenttype/forms"/>
  </ds:schemaRefs>
</ds:datastoreItem>
</file>

<file path=customXml/itemProps3.xml><?xml version="1.0" encoding="utf-8"?>
<ds:datastoreItem xmlns:ds="http://schemas.openxmlformats.org/officeDocument/2006/customXml" ds:itemID="{5CF37E8F-27A1-4022-9A0B-D13C04C23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2563f-66a2-485b-bdea-7667c19b0753"/>
    <ds:schemaRef ds:uri="87c780c7-e6aa-48c6-a571-78954b246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102F4-516A-4A85-9F07-34228DB4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JACZEWSKA Sylwia (GROW)</dc:creator>
  <cp:keywords/>
  <dc:description/>
  <cp:lastModifiedBy>Pelle Moos (BEUC)</cp:lastModifiedBy>
  <cp:revision>2</cp:revision>
  <dcterms:created xsi:type="dcterms:W3CDTF">2025-05-23T13:52:00Z</dcterms:created>
  <dcterms:modified xsi:type="dcterms:W3CDTF">2025-05-23T13:52:00Z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2025-04-30T13:10:20Z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e9f2cf7a-407e-4e23-9a8d-0eabd51ff885</vt:lpwstr>
  </property>
  <property fmtid="{D5CDD505-2E9C-101B-9397-08002B2CF9AE}" pid="8" name="MSIP_Label_6bd9ddd1-4d20-43f6-abfa-fc3c07406f94_ContentBits">
    <vt:lpwstr>0</vt:lpwstr>
  </property>
  <property fmtid="{D5CDD505-2E9C-101B-9397-08002B2CF9AE}" pid="9" name="ContentTypeId">
    <vt:lpwstr>0x0101004C95DE1B7C5C9446AD9592948867661B</vt:lpwstr>
  </property>
  <property fmtid="{D5CDD505-2E9C-101B-9397-08002B2CF9AE}" pid="10" name="MediaServiceImageTags">
    <vt:lpwstr/>
  </property>
</Properties>
</file>